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C67ACDF">
      <w:pPr>
        <w:spacing w:line="660" w:lineRule="exact"/>
        <w:jc w:val="center"/>
        <w:rPr>
          <w:rFonts w:hint="eastAsia" w:ascii="宋体" w:hAnsi="宋体" w:cs="宋体"/>
          <w:b/>
          <w:bCs/>
          <w:kern w:val="0"/>
          <w:sz w:val="44"/>
          <w:szCs w:val="44"/>
          <w:lang w:val="en-US" w:eastAsia="zh-CN"/>
        </w:rPr>
      </w:pPr>
      <w:r>
        <w:rPr>
          <w:rFonts w:hint="eastAsia" w:ascii="宋体" w:hAnsi="宋体" w:cs="宋体"/>
          <w:b/>
          <w:bCs/>
          <w:kern w:val="0"/>
          <w:sz w:val="44"/>
          <w:szCs w:val="44"/>
          <w:lang w:val="en-US" w:eastAsia="zh-CN"/>
        </w:rPr>
        <w:t>华池县人民代表大会常务委员会办公室</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pgNumType w:fmt="numberInDash"/>
          <w:cols w:space="720" w:num="1"/>
          <w:docGrid w:type="lines" w:linePitch="312" w:charSpace="0"/>
        </w:sectPr>
      </w:pPr>
      <w:r>
        <w:rPr>
          <w:rFonts w:hint="default" w:ascii="Times New Roman" w:hAnsi="Times New Roman" w:cs="Times New Roman"/>
          <w:b/>
          <w:bCs/>
          <w:kern w:val="0"/>
          <w:sz w:val="44"/>
          <w:szCs w:val="44"/>
          <w:lang w:eastAsia="zh-CN"/>
        </w:rPr>
        <w:t>202</w:t>
      </w:r>
      <w:r>
        <w:rPr>
          <w:rFonts w:hint="default" w:ascii="Times New Roman" w:hAnsi="Times New Roman" w:cs="Times New Roman"/>
          <w:b/>
          <w:bCs/>
          <w:kern w:val="0"/>
          <w:sz w:val="44"/>
          <w:szCs w:val="44"/>
          <w:lang w:val="en-US" w:eastAsia="zh-CN"/>
        </w:rPr>
        <w:t>6</w:t>
      </w:r>
      <w:r>
        <w:rPr>
          <w:rFonts w:hint="eastAsia" w:ascii="宋体" w:hAnsi="宋体" w:cs="宋体"/>
          <w:b/>
          <w:bCs/>
          <w:kern w:val="0"/>
          <w:sz w:val="44"/>
          <w:szCs w:val="44"/>
        </w:rPr>
        <w:t xml:space="preserve">年部门预算公开情况说明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一、部门职责</w:t>
      </w:r>
    </w:p>
    <w:p w14:paraId="4D83AF2B">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二、机构设置情况</w:t>
      </w:r>
    </w:p>
    <w:p w14:paraId="433351F8">
      <w:pPr>
        <w:spacing w:line="560" w:lineRule="exact"/>
        <w:ind w:firstLine="602" w:firstLineChars="200"/>
        <w:jc w:val="left"/>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 xml:space="preserve">第二部分 </w:t>
      </w:r>
      <w:r>
        <w:rPr>
          <w:rFonts w:hint="default" w:ascii="Times New Roman" w:hAnsi="Times New Roman" w:eastAsia="仿宋_GB2312" w:cs="Times New Roman"/>
          <w:b/>
          <w:color w:val="000000"/>
          <w:sz w:val="30"/>
          <w:szCs w:val="30"/>
          <w:lang w:eastAsia="zh-CN"/>
        </w:rPr>
        <w:t>202</w:t>
      </w:r>
      <w:r>
        <w:rPr>
          <w:rFonts w:hint="default"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年部门预算情况说明</w:t>
      </w:r>
    </w:p>
    <w:p w14:paraId="44EBD670">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三</w:t>
      </w:r>
      <w:r>
        <w:rPr>
          <w:rFonts w:hint="default" w:ascii="Times New Roman" w:hAnsi="Times New Roman" w:eastAsia="仿宋_GB2312" w:cs="Times New Roman"/>
          <w:color w:val="000000"/>
          <w:sz w:val="30"/>
          <w:szCs w:val="30"/>
        </w:rPr>
        <w:t>、收支总体情况</w:t>
      </w:r>
    </w:p>
    <w:p w14:paraId="0BB73FF5">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四</w:t>
      </w:r>
      <w:r>
        <w:rPr>
          <w:rFonts w:hint="default" w:ascii="Times New Roman" w:hAnsi="Times New Roman" w:eastAsia="仿宋_GB2312" w:cs="Times New Roman"/>
          <w:color w:val="000000"/>
          <w:sz w:val="30"/>
          <w:szCs w:val="30"/>
        </w:rPr>
        <w:t>、一般公共预算情况</w:t>
      </w:r>
    </w:p>
    <w:p w14:paraId="4A12B8CB">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五</w:t>
      </w:r>
      <w:r>
        <w:rPr>
          <w:rFonts w:hint="default" w:ascii="Times New Roman" w:hAnsi="Times New Roman" w:eastAsia="仿宋_GB2312" w:cs="Times New Roman"/>
          <w:color w:val="000000"/>
          <w:sz w:val="30"/>
          <w:szCs w:val="30"/>
        </w:rPr>
        <w:t>、一般公共预算财政拨款“三公”经费、培训费、会议费等情况</w:t>
      </w:r>
    </w:p>
    <w:p w14:paraId="435BC81C">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六</w:t>
      </w:r>
      <w:r>
        <w:rPr>
          <w:rFonts w:hint="default" w:ascii="Times New Roman" w:hAnsi="Times New Roman" w:eastAsia="仿宋_GB2312" w:cs="Times New Roman"/>
          <w:color w:val="000000"/>
          <w:sz w:val="30"/>
          <w:szCs w:val="30"/>
        </w:rPr>
        <w:t>、一般公共预算财政拨款机关运行经费情况</w:t>
      </w:r>
    </w:p>
    <w:p w14:paraId="2F88CE30">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七</w:t>
      </w:r>
      <w:r>
        <w:rPr>
          <w:rFonts w:hint="default" w:ascii="Times New Roman" w:hAnsi="Times New Roman" w:eastAsia="仿宋_GB2312" w:cs="Times New Roman"/>
          <w:color w:val="000000"/>
          <w:sz w:val="30"/>
          <w:szCs w:val="30"/>
        </w:rPr>
        <w:t>、政府采购安排情况</w:t>
      </w:r>
    </w:p>
    <w:p w14:paraId="5046C445">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八</w:t>
      </w:r>
      <w:r>
        <w:rPr>
          <w:rFonts w:hint="default" w:ascii="Times New Roman" w:hAnsi="Times New Roman" w:eastAsia="仿宋_GB2312" w:cs="Times New Roman"/>
          <w:color w:val="000000"/>
          <w:sz w:val="30"/>
          <w:szCs w:val="30"/>
        </w:rPr>
        <w:t>、国有资产占用情况</w:t>
      </w:r>
    </w:p>
    <w:p w14:paraId="6D55E2E0">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九</w:t>
      </w:r>
      <w:r>
        <w:rPr>
          <w:rFonts w:hint="default" w:ascii="Times New Roman" w:hAnsi="Times New Roman" w:eastAsia="仿宋_GB2312" w:cs="Times New Roman"/>
          <w:color w:val="000000"/>
          <w:sz w:val="30"/>
          <w:szCs w:val="30"/>
        </w:rPr>
        <w:t>、其他重要事项情况说明</w:t>
      </w:r>
    </w:p>
    <w:p w14:paraId="171C4917">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w:t>
      </w:r>
      <w:r>
        <w:rPr>
          <w:rFonts w:hint="default" w:ascii="Times New Roman" w:hAnsi="Times New Roman" w:eastAsia="仿宋_GB2312" w:cs="Times New Roman"/>
          <w:color w:val="000000"/>
          <w:sz w:val="30"/>
          <w:szCs w:val="30"/>
        </w:rPr>
        <w:t>、预算绩效管理情况</w:t>
      </w:r>
    </w:p>
    <w:p w14:paraId="7042C3D9">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十一</w:t>
      </w:r>
      <w:r>
        <w:rPr>
          <w:rFonts w:hint="default" w:ascii="Times New Roman" w:hAnsi="Times New Roman" w:eastAsia="仿宋_GB2312" w:cs="Times New Roman"/>
          <w:color w:val="000000"/>
          <w:sz w:val="30"/>
          <w:szCs w:val="30"/>
        </w:rPr>
        <w:t>、名词解释</w:t>
      </w:r>
    </w:p>
    <w:p w14:paraId="734FD345">
      <w:pPr>
        <w:spacing w:line="560" w:lineRule="exact"/>
        <w:ind w:firstLine="602" w:firstLineChars="200"/>
        <w:jc w:val="left"/>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 xml:space="preserve">第三部分 </w:t>
      </w:r>
      <w:r>
        <w:rPr>
          <w:rFonts w:hint="default" w:ascii="Times New Roman" w:hAnsi="Times New Roman" w:eastAsia="仿宋_GB2312" w:cs="Times New Roman"/>
          <w:b/>
          <w:color w:val="000000"/>
          <w:sz w:val="30"/>
          <w:szCs w:val="30"/>
          <w:lang w:eastAsia="zh-CN"/>
        </w:rPr>
        <w:t>202</w:t>
      </w:r>
      <w:r>
        <w:rPr>
          <w:rFonts w:hint="default"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年部门预算公开表</w:t>
      </w:r>
    </w:p>
    <w:p w14:paraId="3FD2078A">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一、部门收支总体情况表</w:t>
      </w:r>
    </w:p>
    <w:p w14:paraId="72142C80">
      <w:pPr>
        <w:spacing w:line="560" w:lineRule="exact"/>
        <w:ind w:firstLine="600" w:firstLineChars="200"/>
        <w:jc w:val="left"/>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二、部门收入总体情况表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fmt="numberInDash" w:start="1"/>
          <w:cols w:space="720" w:num="1"/>
          <w:docGrid w:type="lines" w:linePitch="312" w:charSpace="0"/>
        </w:sectPr>
      </w:pPr>
    </w:p>
    <w:p w14:paraId="42E458F6">
      <w:pPr>
        <w:keepNext w:val="0"/>
        <w:keepLines w:val="0"/>
        <w:pageBreakBefore w:val="0"/>
        <w:widowControl w:val="0"/>
        <w:kinsoku/>
        <w:overflowPunct/>
        <w:topLinePunct w:val="0"/>
        <w:autoSpaceDE/>
        <w:autoSpaceDN/>
        <w:bidi w:val="0"/>
        <w:spacing w:line="600" w:lineRule="exact"/>
        <w:ind w:firstLine="643" w:firstLineChars="200"/>
        <w:textAlignment w:val="auto"/>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keepNext w:val="0"/>
        <w:keepLines w:val="0"/>
        <w:pageBreakBefore w:val="0"/>
        <w:widowControl w:val="0"/>
        <w:kinsoku/>
        <w:overflowPunct/>
        <w:topLinePunct w:val="0"/>
        <w:autoSpaceDE/>
        <w:autoSpaceDN/>
        <w:bidi w:val="0"/>
        <w:spacing w:line="60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keepNext w:val="0"/>
        <w:keepLines w:val="0"/>
        <w:pageBreakBefore w:val="0"/>
        <w:widowControl w:val="0"/>
        <w:kinsoku/>
        <w:overflowPunct/>
        <w:topLinePunct w:val="0"/>
        <w:autoSpaceDE/>
        <w:autoSpaceDN/>
        <w:bidi w:val="0"/>
        <w:spacing w:line="60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一、部门职责</w:t>
      </w:r>
    </w:p>
    <w:p w14:paraId="307BB98B">
      <w:pPr>
        <w:keepNext w:val="0"/>
        <w:keepLines w:val="0"/>
        <w:pageBreakBefore w:val="0"/>
        <w:widowControl w:val="0"/>
        <w:kinsoku/>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华池县人大常委会</w:t>
      </w:r>
      <w:r>
        <w:rPr>
          <w:rFonts w:hint="eastAsia" w:ascii="仿宋_GB2312" w:hAnsi="仿宋_GB2312" w:eastAsia="仿宋_GB2312" w:cs="仿宋_GB2312"/>
          <w:sz w:val="32"/>
          <w:szCs w:val="32"/>
          <w:lang w:val="en-US" w:eastAsia="zh-CN"/>
        </w:rPr>
        <w:t>下设“一室四工委”：办公室、法制司法监察、预算农业城建环保、教育科学文化卫生和代表工作委员会。</w:t>
      </w:r>
      <w:r>
        <w:rPr>
          <w:rFonts w:hint="eastAsia" w:ascii="仿宋_GB2312" w:hAnsi="仿宋_GB2312" w:eastAsia="仿宋_GB2312" w:cs="仿宋_GB2312"/>
          <w:sz w:val="32"/>
          <w:szCs w:val="32"/>
        </w:rPr>
        <w:t>主要职责是:</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负责县人民代表大会会议、常委会会议和主任会议的具体会务工作。负责会议筹备，草拟有关会议文件及草案，综合整理审议意见，印发会议文件，做好会场服务和后勤保障等工作。</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负责起草常委会以及常委会办公室上报下发的各类文件；常委会年度工作要点、有关工作报告、决议、决定草案和常委会领导的重要讲话。</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根据常委会的决定和主任会议的安排，为常委会开展视察、调查、检查等重大活动以及常委会组成人员、人大代表、各工作委员会依法开展活动，提供服务。</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根据常委会年度工作要点和主任会议的安排，积极开展调查研究，为常委会提供情况，当好参谋。</w:t>
      </w:r>
      <w:r>
        <w:rPr>
          <w:rFonts w:hint="eastAsia" w:ascii="仿宋_GB2312" w:hAnsi="仿宋_GB2312" w:eastAsia="仿宋_GB2312" w:cs="仿宋_GB2312"/>
          <w:b/>
          <w:bCs/>
          <w:sz w:val="32"/>
          <w:szCs w:val="32"/>
        </w:rPr>
        <w:t>五是</w:t>
      </w:r>
      <w:r>
        <w:rPr>
          <w:rFonts w:hint="eastAsia" w:ascii="仿宋_GB2312" w:hAnsi="仿宋_GB2312" w:eastAsia="仿宋_GB2312" w:cs="仿宋_GB2312"/>
          <w:sz w:val="32"/>
          <w:szCs w:val="32"/>
        </w:rPr>
        <w:t>负责接待人民代表和群众的来信来访；及时向常委会领导反映人民群众对“一府</w:t>
      </w:r>
      <w:r>
        <w:rPr>
          <w:rFonts w:hint="eastAsia" w:ascii="仿宋_GB2312" w:hAnsi="仿宋_GB2312" w:eastAsia="仿宋_GB2312" w:cs="仿宋_GB2312"/>
          <w:sz w:val="32"/>
          <w:szCs w:val="32"/>
          <w:lang w:val="en-US" w:eastAsia="zh-CN"/>
        </w:rPr>
        <w:t>一委</w:t>
      </w:r>
      <w:r>
        <w:rPr>
          <w:rFonts w:hint="eastAsia" w:ascii="仿宋_GB2312" w:hAnsi="仿宋_GB2312" w:eastAsia="仿宋_GB2312" w:cs="仿宋_GB2312"/>
          <w:sz w:val="32"/>
          <w:szCs w:val="32"/>
        </w:rPr>
        <w:t>两院”和国家工作人员的申诉、控告；负责调查和处理上级人大转交和县人大常委会受理的人民群众的信访案件。</w:t>
      </w:r>
      <w:r>
        <w:rPr>
          <w:rFonts w:hint="eastAsia" w:ascii="仿宋_GB2312" w:hAnsi="仿宋_GB2312" w:eastAsia="仿宋_GB2312" w:cs="仿宋_GB2312"/>
          <w:b/>
          <w:bCs/>
          <w:sz w:val="32"/>
          <w:szCs w:val="32"/>
        </w:rPr>
        <w:t>六是</w:t>
      </w:r>
      <w:r>
        <w:rPr>
          <w:rFonts w:hint="eastAsia" w:ascii="仿宋_GB2312" w:hAnsi="仿宋_GB2312" w:eastAsia="仿宋_GB2312" w:cs="仿宋_GB2312"/>
          <w:sz w:val="32"/>
          <w:szCs w:val="32"/>
        </w:rPr>
        <w:t>负责做好来文处理及各类文件的立卷、归档、保管等文书机要工作。</w:t>
      </w:r>
      <w:r>
        <w:rPr>
          <w:rFonts w:hint="eastAsia" w:ascii="仿宋_GB2312" w:hAnsi="仿宋_GB2312" w:eastAsia="仿宋_GB2312" w:cs="仿宋_GB2312"/>
          <w:b/>
          <w:bCs/>
          <w:sz w:val="32"/>
          <w:szCs w:val="32"/>
        </w:rPr>
        <w:t>七是</w:t>
      </w:r>
      <w:r>
        <w:rPr>
          <w:rFonts w:hint="eastAsia" w:ascii="仿宋_GB2312" w:hAnsi="仿宋_GB2312" w:eastAsia="仿宋_GB2312" w:cs="仿宋_GB2312"/>
          <w:sz w:val="32"/>
          <w:szCs w:val="32"/>
        </w:rPr>
        <w:t>负责与常委会各位领导、其他组成人员、各工委的经常性联系，做好协调服务工作。</w:t>
      </w:r>
      <w:r>
        <w:rPr>
          <w:rFonts w:hint="eastAsia" w:ascii="仿宋_GB2312" w:hAnsi="仿宋_GB2312" w:eastAsia="仿宋_GB2312" w:cs="仿宋_GB2312"/>
          <w:b/>
          <w:bCs/>
          <w:sz w:val="32"/>
          <w:szCs w:val="32"/>
        </w:rPr>
        <w:t>八是</w:t>
      </w:r>
      <w:r>
        <w:rPr>
          <w:rFonts w:hint="eastAsia" w:ascii="仿宋_GB2312" w:hAnsi="仿宋_GB2312" w:eastAsia="仿宋_GB2312" w:cs="仿宋_GB2312"/>
          <w:sz w:val="32"/>
          <w:szCs w:val="32"/>
        </w:rPr>
        <w:t>负责做好与省、市人大、县委办、政府办、政协办、法院、检察院和常委会各工作委员会及各乡（镇）人大的工作联系。</w:t>
      </w:r>
      <w:r>
        <w:rPr>
          <w:rFonts w:hint="eastAsia" w:ascii="仿宋_GB2312" w:hAnsi="仿宋_GB2312" w:eastAsia="仿宋_GB2312" w:cs="仿宋_GB2312"/>
          <w:b/>
          <w:bCs/>
          <w:sz w:val="32"/>
          <w:szCs w:val="32"/>
        </w:rPr>
        <w:t>九是</w:t>
      </w:r>
      <w:r>
        <w:rPr>
          <w:rFonts w:hint="eastAsia" w:ascii="仿宋_GB2312" w:hAnsi="仿宋_GB2312" w:eastAsia="仿宋_GB2312" w:cs="仿宋_GB2312"/>
          <w:sz w:val="32"/>
          <w:szCs w:val="32"/>
        </w:rPr>
        <w:t>负责安排常委会机关的政治、业务、法律、法规的学习和岗位责任制的考评、考核工作。</w:t>
      </w:r>
      <w:r>
        <w:rPr>
          <w:rFonts w:hint="eastAsia" w:ascii="仿宋_GB2312" w:hAnsi="仿宋_GB2312" w:eastAsia="仿宋_GB2312" w:cs="仿宋_GB2312"/>
          <w:b/>
          <w:bCs/>
          <w:sz w:val="32"/>
          <w:szCs w:val="32"/>
        </w:rPr>
        <w:t>十是</w:t>
      </w:r>
      <w:r>
        <w:rPr>
          <w:rFonts w:hint="eastAsia" w:ascii="仿宋_GB2312" w:hAnsi="仿宋_GB2312" w:eastAsia="仿宋_GB2312" w:cs="仿宋_GB2312"/>
          <w:sz w:val="32"/>
          <w:szCs w:val="32"/>
        </w:rPr>
        <w:t>负责做好与上级人大新闻机构及县委宣传部门、新闻单位的经常性联系，开展人大理论研讨，做好人大宣传工作，定期撰写审查县人民代表大会、常委会以及其他会议宣传报道稿件，编发《简讯》和《华池县人大常委会会刊》。</w:t>
      </w:r>
      <w:r>
        <w:rPr>
          <w:rFonts w:hint="eastAsia" w:ascii="仿宋_GB2312" w:hAnsi="仿宋_GB2312" w:eastAsia="仿宋_GB2312" w:cs="仿宋_GB2312"/>
          <w:b/>
          <w:bCs/>
          <w:sz w:val="32"/>
          <w:szCs w:val="32"/>
        </w:rPr>
        <w:t>十一是</w:t>
      </w:r>
      <w:r>
        <w:rPr>
          <w:rFonts w:hint="eastAsia" w:ascii="仿宋_GB2312" w:hAnsi="仿宋_GB2312" w:eastAsia="仿宋_GB2312" w:cs="仿宋_GB2312"/>
          <w:sz w:val="32"/>
          <w:szCs w:val="32"/>
        </w:rPr>
        <w:t>负责常委会机关的行政事务、财务、车辆管理、后勤服务、来宾接待、安全保卫以及离退休干部职工的服务等工作。</w:t>
      </w:r>
      <w:r>
        <w:rPr>
          <w:rFonts w:hint="eastAsia" w:ascii="仿宋_GB2312" w:hAnsi="仿宋_GB2312" w:eastAsia="仿宋_GB2312" w:cs="仿宋_GB2312"/>
          <w:b/>
          <w:bCs/>
          <w:sz w:val="32"/>
          <w:szCs w:val="32"/>
        </w:rPr>
        <w:t>十二是</w:t>
      </w:r>
      <w:r>
        <w:rPr>
          <w:rFonts w:hint="eastAsia" w:ascii="仿宋_GB2312" w:hAnsi="仿宋_GB2312" w:eastAsia="仿宋_GB2312" w:cs="仿宋_GB2312"/>
          <w:sz w:val="32"/>
          <w:szCs w:val="32"/>
        </w:rPr>
        <w:t>办理常委会、主任会议以及常委会领导交办的其它工作。</w:t>
      </w:r>
    </w:p>
    <w:p w14:paraId="720E48B4">
      <w:pPr>
        <w:keepNext w:val="0"/>
        <w:keepLines w:val="0"/>
        <w:pageBreakBefore w:val="0"/>
        <w:widowControl w:val="0"/>
        <w:kinsoku/>
        <w:overflowPunct/>
        <w:topLinePunct w:val="0"/>
        <w:autoSpaceDE/>
        <w:autoSpaceDN/>
        <w:bidi w:val="0"/>
        <w:spacing w:line="60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二、机构设置情况</w:t>
      </w:r>
    </w:p>
    <w:p w14:paraId="3BB774C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华池县人大</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常委会办公室</w:t>
      </w:r>
      <w:r>
        <w:rPr>
          <w:rFonts w:hint="default" w:ascii="Times New Roman" w:hAnsi="Times New Roman" w:eastAsia="仿宋_GB2312" w:cs="Times New Roman"/>
          <w:color w:val="000000" w:themeColor="text1"/>
          <w:sz w:val="32"/>
          <w:szCs w:val="32"/>
          <w14:textFill>
            <w14:solidFill>
              <w14:schemeClr w14:val="tx1"/>
            </w14:solidFill>
          </w14:textFill>
        </w:rPr>
        <w:t>内设</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机构</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个（</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网络信息中心</w:t>
      </w: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年度，我单位共</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核定</w:t>
      </w:r>
      <w:r>
        <w:rPr>
          <w:rFonts w:hint="default" w:ascii="Times New Roman" w:hAnsi="Times New Roman" w:eastAsia="仿宋_GB2312" w:cs="Times New Roman"/>
          <w:color w:val="000000" w:themeColor="text1"/>
          <w:sz w:val="32"/>
          <w:szCs w:val="32"/>
          <w14:textFill>
            <w14:solidFill>
              <w14:schemeClr w14:val="tx1"/>
            </w14:solidFill>
          </w14:textFill>
        </w:rPr>
        <w:t>编制29名，其中：行政编制12名，事业编制9名，工勤编制8名。</w:t>
      </w:r>
    </w:p>
    <w:p w14:paraId="154D8898">
      <w:pPr>
        <w:keepNext w:val="0"/>
        <w:keepLines w:val="0"/>
        <w:pageBreakBefore w:val="0"/>
        <w:widowControl w:val="0"/>
        <w:kinsoku/>
        <w:overflowPunct/>
        <w:topLinePunct w:val="0"/>
        <w:autoSpaceDE/>
        <w:autoSpaceDN/>
        <w:bidi w:val="0"/>
        <w:spacing w:line="600" w:lineRule="exact"/>
        <w:ind w:firstLine="640" w:firstLineChars="200"/>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三、部门收支总体情况</w:t>
      </w:r>
    </w:p>
    <w:p w14:paraId="02D85CDC">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202</w:t>
      </w:r>
      <w:r>
        <w:rPr>
          <w:rFonts w:hint="default" w:ascii="Times New Roman" w:hAnsi="Times New Roman" w:eastAsia="仿宋_GB2312" w:cs="Times New Roman"/>
          <w:kern w:val="0"/>
          <w:sz w:val="32"/>
          <w:szCs w:val="32"/>
          <w:lang w:val="en-US" w:eastAsia="zh-CN"/>
        </w:rPr>
        <w:t>6</w:t>
      </w:r>
      <w:r>
        <w:rPr>
          <w:rFonts w:hint="default" w:ascii="Times New Roman" w:hAnsi="Times New Roman" w:eastAsia="仿宋_GB2312" w:cs="Times New Roman"/>
          <w:kern w:val="0"/>
          <w:sz w:val="32"/>
          <w:szCs w:val="32"/>
        </w:rPr>
        <w:t>年部门收支总预算</w:t>
      </w:r>
      <w:r>
        <w:rPr>
          <w:rFonts w:hint="default" w:ascii="Times New Roman" w:hAnsi="Times New Roman" w:eastAsia="仿宋_GB2312" w:cs="Times New Roman"/>
          <w:kern w:val="0"/>
          <w:sz w:val="32"/>
          <w:szCs w:val="32"/>
          <w:lang w:val="en-US" w:eastAsia="zh-CN"/>
        </w:rPr>
        <w:t>764.31</w:t>
      </w:r>
      <w:r>
        <w:rPr>
          <w:rFonts w:hint="default" w:ascii="Times New Roman" w:hAnsi="Times New Roman" w:eastAsia="仿宋_GB2312" w:cs="Times New Roman"/>
          <w:kern w:val="0"/>
          <w:sz w:val="32"/>
          <w:szCs w:val="32"/>
        </w:rPr>
        <w:t>万元。按照综合预算的原则，部门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b/>
          <w:bCs/>
          <w:kern w:val="0"/>
          <w:sz w:val="32"/>
          <w:szCs w:val="32"/>
        </w:rPr>
        <w:t>（一）收入预算</w:t>
      </w:r>
    </w:p>
    <w:p w14:paraId="7E3AB6EB">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年收入预算</w:t>
      </w:r>
      <w:r>
        <w:rPr>
          <w:rFonts w:hint="default" w:ascii="Times New Roman" w:hAnsi="Times New Roman" w:eastAsia="仿宋_GB2312" w:cs="Times New Roman"/>
          <w:sz w:val="32"/>
          <w:szCs w:val="32"/>
          <w:lang w:val="en-US" w:eastAsia="zh-CN"/>
        </w:rPr>
        <w:t>764.31</w:t>
      </w:r>
      <w:r>
        <w:rPr>
          <w:rFonts w:hint="default" w:ascii="Times New Roman" w:hAnsi="Times New Roman" w:eastAsia="仿宋_GB2312" w:cs="Times New Roman"/>
          <w:sz w:val="32"/>
          <w:szCs w:val="32"/>
        </w:rPr>
        <w:t>万元（详见部门预算公开表1,2）。包括：</w:t>
      </w:r>
    </w:p>
    <w:p w14:paraId="14E911E5">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一般公共预算收入</w:t>
      </w:r>
      <w:r>
        <w:rPr>
          <w:rFonts w:hint="default" w:ascii="Times New Roman" w:hAnsi="Times New Roman" w:eastAsia="仿宋_GB2312" w:cs="Times New Roman"/>
          <w:sz w:val="32"/>
          <w:szCs w:val="32"/>
          <w:lang w:val="en-US" w:eastAsia="zh-CN"/>
        </w:rPr>
        <w:t>764.31</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100.00</w:t>
      </w:r>
      <w:r>
        <w:rPr>
          <w:rFonts w:hint="default" w:ascii="Times New Roman" w:hAnsi="Times New Roman" w:eastAsia="仿宋_GB2312" w:cs="Times New Roman"/>
          <w:sz w:val="32"/>
          <w:szCs w:val="32"/>
        </w:rPr>
        <w:t>%；</w:t>
      </w:r>
    </w:p>
    <w:p w14:paraId="6DC38958">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政府性基金预算收入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0.00</w:t>
      </w:r>
      <w:r>
        <w:rPr>
          <w:rFonts w:hint="default" w:ascii="Times New Roman" w:hAnsi="Times New Roman" w:eastAsia="仿宋_GB2312" w:cs="Times New Roman"/>
          <w:sz w:val="32"/>
          <w:szCs w:val="32"/>
        </w:rPr>
        <w:t>%；</w:t>
      </w:r>
    </w:p>
    <w:p w14:paraId="7ABC9C50">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上年结转收入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0.00</w:t>
      </w:r>
      <w:r>
        <w:rPr>
          <w:rFonts w:hint="default" w:ascii="Times New Roman" w:hAnsi="Times New Roman" w:eastAsia="仿宋_GB2312" w:cs="Times New Roman"/>
          <w:sz w:val="32"/>
          <w:szCs w:val="32"/>
        </w:rPr>
        <w:t>%；</w:t>
      </w:r>
    </w:p>
    <w:p w14:paraId="06AE385C">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0.00</w:t>
      </w:r>
      <w:r>
        <w:rPr>
          <w:rFonts w:hint="default" w:ascii="Times New Roman" w:hAnsi="Times New Roman" w:eastAsia="仿宋_GB2312" w:cs="Times New Roman"/>
          <w:sz w:val="32"/>
          <w:szCs w:val="32"/>
        </w:rPr>
        <w:t>%。</w:t>
      </w:r>
    </w:p>
    <w:p w14:paraId="2217B580">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（二）支出预算</w:t>
      </w:r>
    </w:p>
    <w:p w14:paraId="356FC48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年支出预算</w:t>
      </w:r>
      <w:r>
        <w:rPr>
          <w:rFonts w:hint="default" w:ascii="Times New Roman" w:hAnsi="Times New Roman" w:eastAsia="仿宋_GB2312" w:cs="Times New Roman"/>
          <w:sz w:val="32"/>
          <w:szCs w:val="32"/>
          <w:lang w:val="en-US" w:eastAsia="zh-CN"/>
        </w:rPr>
        <w:t>764.31</w:t>
      </w:r>
      <w:r>
        <w:rPr>
          <w:rFonts w:hint="default" w:ascii="Times New Roman" w:hAnsi="Times New Roman" w:eastAsia="仿宋_GB2312" w:cs="Times New Roman"/>
          <w:sz w:val="32"/>
          <w:szCs w:val="32"/>
        </w:rPr>
        <w:t>万元（详见部门预算公开表3）。</w:t>
      </w:r>
      <w:r>
        <w:rPr>
          <w:rStyle w:val="21"/>
          <w:rFonts w:hint="default" w:ascii="Times New Roman" w:hAnsi="Times New Roman" w:cs="Times New Roman"/>
        </w:rPr>
        <w:t>其中：基本支出</w:t>
      </w:r>
      <w:r>
        <w:rPr>
          <w:rStyle w:val="22"/>
          <w:rFonts w:hint="default" w:ascii="Times New Roman" w:hAnsi="Times New Roman" w:eastAsia="仿宋_GB2312" w:cs="Times New Roman"/>
          <w:lang w:val="en-US" w:eastAsia="zh-CN"/>
        </w:rPr>
        <w:t>682.71</w:t>
      </w:r>
      <w:r>
        <w:rPr>
          <w:rStyle w:val="21"/>
          <w:rFonts w:hint="default" w:ascii="Times New Roman" w:hAnsi="Times New Roman" w:cs="Times New Roman"/>
        </w:rPr>
        <w:t>万元，占</w:t>
      </w:r>
      <w:r>
        <w:rPr>
          <w:rStyle w:val="21"/>
          <w:rFonts w:hint="default" w:ascii="Times New Roman" w:hAnsi="Times New Roman" w:eastAsia="仿宋_GB2312" w:cs="Times New Roman"/>
          <w:lang w:val="en-US" w:eastAsia="zh-CN"/>
        </w:rPr>
        <w:t>89.32</w:t>
      </w:r>
      <w:r>
        <w:rPr>
          <w:rStyle w:val="22"/>
          <w:rFonts w:hint="default" w:ascii="Times New Roman" w:hAnsi="Times New Roman" w:eastAsia="仿宋_GB2312" w:cs="Times New Roman"/>
        </w:rPr>
        <w:t>%</w:t>
      </w:r>
      <w:r>
        <w:rPr>
          <w:rStyle w:val="21"/>
          <w:rFonts w:hint="default" w:ascii="Times New Roman" w:hAnsi="Times New Roman" w:cs="Times New Roman"/>
        </w:rPr>
        <w:t>；项目支出</w:t>
      </w:r>
      <w:r>
        <w:rPr>
          <w:rStyle w:val="21"/>
          <w:rFonts w:hint="default" w:ascii="Times New Roman" w:hAnsi="Times New Roman" w:eastAsia="仿宋_GB2312" w:cs="Times New Roman"/>
          <w:lang w:val="en-US" w:eastAsia="zh-CN"/>
        </w:rPr>
        <w:t>81.6</w:t>
      </w:r>
      <w:r>
        <w:rPr>
          <w:rStyle w:val="21"/>
          <w:rFonts w:hint="default" w:ascii="Times New Roman" w:hAnsi="Times New Roman" w:cs="Times New Roman"/>
        </w:rPr>
        <w:t>万元，占</w:t>
      </w:r>
      <w:r>
        <w:rPr>
          <w:rStyle w:val="22"/>
          <w:rFonts w:hint="default" w:ascii="Times New Roman" w:hAnsi="Times New Roman" w:eastAsia="仿宋_GB2312" w:cs="Times New Roman"/>
          <w:lang w:val="en-US" w:eastAsia="zh-CN"/>
        </w:rPr>
        <w:t>10.68</w:t>
      </w:r>
      <w:r>
        <w:rPr>
          <w:rStyle w:val="22"/>
          <w:rFonts w:hint="default" w:ascii="Times New Roman" w:hAnsi="Times New Roman" w:eastAsia="仿宋_GB2312" w:cs="Times New Roman"/>
        </w:rPr>
        <w:t>%</w:t>
      </w:r>
      <w:r>
        <w:rPr>
          <w:rStyle w:val="21"/>
          <w:rFonts w:hint="default" w:ascii="Times New Roman" w:hAnsi="Times New Roman" w:cs="Times New Roman"/>
        </w:rPr>
        <w:t>；上年结转</w:t>
      </w:r>
      <w:r>
        <w:rPr>
          <w:rStyle w:val="22"/>
          <w:rFonts w:hint="default" w:ascii="Times New Roman" w:hAnsi="Times New Roman" w:eastAsia="仿宋_GB2312" w:cs="Times New Roman"/>
          <w:lang w:val="en-US" w:eastAsia="zh-CN"/>
        </w:rPr>
        <w:t>0</w:t>
      </w:r>
      <w:r>
        <w:rPr>
          <w:rStyle w:val="21"/>
          <w:rFonts w:hint="default" w:ascii="Times New Roman" w:hAnsi="Times New Roman" w:cs="Times New Roman"/>
        </w:rPr>
        <w:t>万元，占</w:t>
      </w:r>
      <w:r>
        <w:rPr>
          <w:rStyle w:val="22"/>
          <w:rFonts w:hint="default" w:ascii="Times New Roman" w:hAnsi="Times New Roman" w:eastAsia="仿宋_GB2312" w:cs="Times New Roman"/>
          <w:lang w:val="en-US" w:eastAsia="zh-CN"/>
        </w:rPr>
        <w:t>0.00</w:t>
      </w:r>
      <w:r>
        <w:rPr>
          <w:rStyle w:val="22"/>
          <w:rFonts w:hint="default" w:ascii="Times New Roman" w:hAnsi="Times New Roman" w:eastAsia="仿宋_GB2312" w:cs="Times New Roman"/>
        </w:rPr>
        <w:t>%</w:t>
      </w:r>
      <w:r>
        <w:rPr>
          <w:rStyle w:val="21"/>
          <w:rFonts w:hint="default" w:ascii="Times New Roman" w:hAnsi="Times New Roman" w:cs="Times New Roman"/>
        </w:rPr>
        <w:t>。</w:t>
      </w:r>
    </w:p>
    <w:p w14:paraId="7D7ADD5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四、一般公共预算情况</w:t>
      </w:r>
    </w:p>
    <w:p w14:paraId="0F3C656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Style w:val="22"/>
          <w:rFonts w:hint="default" w:ascii="Times New Roman" w:hAnsi="Times New Roman" w:eastAsia="仿宋_GB2312" w:cs="Times New Roman"/>
          <w:lang w:eastAsia="zh-CN"/>
        </w:rPr>
        <w:t>202</w:t>
      </w:r>
      <w:r>
        <w:rPr>
          <w:rStyle w:val="22"/>
          <w:rFonts w:hint="default" w:ascii="Times New Roman" w:hAnsi="Times New Roman" w:eastAsia="仿宋_GB2312" w:cs="Times New Roman"/>
          <w:lang w:val="en-US" w:eastAsia="zh-CN"/>
        </w:rPr>
        <w:t>6</w:t>
      </w:r>
      <w:r>
        <w:rPr>
          <w:rStyle w:val="21"/>
          <w:rFonts w:hint="default" w:ascii="Times New Roman" w:hAnsi="Times New Roman" w:cs="Times New Roman"/>
        </w:rPr>
        <w:t>年一般公共预算当年支出</w:t>
      </w:r>
      <w:r>
        <w:rPr>
          <w:rStyle w:val="21"/>
          <w:rFonts w:hint="default" w:ascii="Times New Roman" w:hAnsi="Times New Roman" w:eastAsia="仿宋_GB2312" w:cs="Times New Roman"/>
          <w:lang w:val="en-US" w:eastAsia="zh-CN"/>
        </w:rPr>
        <w:t>764.31</w:t>
      </w:r>
      <w:r>
        <w:rPr>
          <w:rStyle w:val="21"/>
          <w:rFonts w:hint="default" w:ascii="Times New Roman" w:hAnsi="Times New Roman" w:cs="Times New Roman"/>
        </w:rPr>
        <w:t>万元，包括：一般公共服务支出</w:t>
      </w:r>
      <w:r>
        <w:rPr>
          <w:rStyle w:val="22"/>
          <w:rFonts w:hint="default" w:ascii="Times New Roman" w:hAnsi="Times New Roman" w:eastAsia="仿宋_GB2312" w:cs="Times New Roman"/>
          <w:lang w:val="en-US" w:eastAsia="zh-CN"/>
        </w:rPr>
        <w:t>612.69</w:t>
      </w:r>
      <w:r>
        <w:rPr>
          <w:rStyle w:val="21"/>
          <w:rFonts w:hint="default" w:ascii="Times New Roman" w:hAnsi="Times New Roman" w:cs="Times New Roman"/>
        </w:rPr>
        <w:t>万元、公共安全支出</w:t>
      </w:r>
      <w:r>
        <w:rPr>
          <w:rStyle w:val="22"/>
          <w:rFonts w:hint="default" w:ascii="Times New Roman" w:hAnsi="Times New Roman" w:eastAsia="仿宋_GB2312" w:cs="Times New Roman"/>
          <w:lang w:val="en-US" w:eastAsia="zh-CN"/>
        </w:rPr>
        <w:t>0</w:t>
      </w:r>
      <w:r>
        <w:rPr>
          <w:rStyle w:val="21"/>
          <w:rFonts w:hint="default" w:ascii="Times New Roman" w:hAnsi="Times New Roman" w:cs="Times New Roman"/>
        </w:rPr>
        <w:t>万元、教育支出</w:t>
      </w:r>
      <w:r>
        <w:rPr>
          <w:rStyle w:val="22"/>
          <w:rFonts w:hint="default" w:ascii="Times New Roman" w:hAnsi="Times New Roman" w:eastAsia="仿宋_GB2312" w:cs="Times New Roman"/>
          <w:lang w:val="en-US" w:eastAsia="zh-CN"/>
        </w:rPr>
        <w:t>0</w:t>
      </w:r>
      <w:r>
        <w:rPr>
          <w:rStyle w:val="21"/>
          <w:rFonts w:hint="default" w:ascii="Times New Roman" w:hAnsi="Times New Roman" w:cs="Times New Roman"/>
        </w:rPr>
        <w:t>万元、科学技术支出</w:t>
      </w:r>
      <w:r>
        <w:rPr>
          <w:rStyle w:val="22"/>
          <w:rFonts w:hint="default" w:ascii="Times New Roman" w:hAnsi="Times New Roman" w:eastAsia="仿宋_GB2312" w:cs="Times New Roman"/>
          <w:lang w:val="en-US" w:eastAsia="zh-CN"/>
        </w:rPr>
        <w:t>0</w:t>
      </w:r>
      <w:r>
        <w:rPr>
          <w:rStyle w:val="21"/>
          <w:rFonts w:hint="default" w:ascii="Times New Roman" w:hAnsi="Times New Roman" w:cs="Times New Roman"/>
        </w:rPr>
        <w:t>万元、社会保障和就业支出</w:t>
      </w:r>
      <w:r>
        <w:rPr>
          <w:rStyle w:val="22"/>
          <w:rFonts w:hint="default" w:ascii="Times New Roman" w:hAnsi="Times New Roman" w:eastAsia="仿宋_GB2312" w:cs="Times New Roman"/>
          <w:lang w:val="en-US" w:eastAsia="zh-CN"/>
        </w:rPr>
        <w:t>81.87</w:t>
      </w:r>
      <w:r>
        <w:rPr>
          <w:rStyle w:val="21"/>
          <w:rFonts w:hint="default" w:ascii="Times New Roman" w:hAnsi="Times New Roman" w:cs="Times New Roman"/>
        </w:rPr>
        <w:t>万元、</w:t>
      </w:r>
      <w:r>
        <w:rPr>
          <w:rStyle w:val="21"/>
          <w:rFonts w:hint="eastAsia" w:hAnsi="仿宋" w:eastAsia="仿宋_GB2312"/>
          <w:lang w:val="en-US" w:eastAsia="zh-CN"/>
        </w:rPr>
        <w:t>卫生健康支出</w:t>
      </w:r>
      <w:r>
        <w:rPr>
          <w:rFonts w:hint="eastAsia" w:ascii="Times New Roman" w:hAnsi="Times New Roman" w:eastAsia="仿宋_GB2312" w:cs="Times New Roman"/>
          <w:sz w:val="32"/>
          <w:szCs w:val="32"/>
          <w:lang w:val="en-US" w:eastAsia="zh-CN"/>
        </w:rPr>
        <w:t>30.03万</w:t>
      </w:r>
      <w:r>
        <w:rPr>
          <w:rStyle w:val="21"/>
          <w:rFonts w:hint="eastAsia" w:hAnsi="仿宋" w:eastAsia="仿宋_GB2312"/>
          <w:lang w:val="en-US" w:eastAsia="zh-CN"/>
        </w:rPr>
        <w:t>元、住房保障支出</w:t>
      </w:r>
      <w:r>
        <w:rPr>
          <w:rFonts w:hint="eastAsia" w:ascii="Times New Roman" w:hAnsi="Times New Roman" w:eastAsia="仿宋_GB2312" w:cs="Times New Roman"/>
          <w:sz w:val="32"/>
          <w:szCs w:val="32"/>
          <w:lang w:val="en-US" w:eastAsia="zh-CN"/>
        </w:rPr>
        <w:t>39.72</w:t>
      </w:r>
      <w:r>
        <w:rPr>
          <w:rStyle w:val="21"/>
          <w:rFonts w:hint="eastAsia" w:hAnsi="仿宋" w:eastAsia="仿宋_GB2312"/>
          <w:lang w:val="en-US" w:eastAsia="zh-CN"/>
        </w:rPr>
        <w:t>万元、</w:t>
      </w:r>
      <w:r>
        <w:rPr>
          <w:rStyle w:val="21"/>
          <w:rFonts w:hint="default" w:ascii="Times New Roman" w:hAnsi="Times New Roman" w:cs="Times New Roman"/>
        </w:rPr>
        <w:t>其他支出</w:t>
      </w:r>
      <w:r>
        <w:rPr>
          <w:rStyle w:val="22"/>
          <w:rFonts w:hint="default" w:ascii="Times New Roman" w:hAnsi="Times New Roman" w:eastAsia="仿宋_GB2312" w:cs="Times New Roman"/>
          <w:lang w:val="en-US" w:eastAsia="zh-CN"/>
        </w:rPr>
        <w:t>0</w:t>
      </w:r>
      <w:r>
        <w:rPr>
          <w:rStyle w:val="21"/>
          <w:rFonts w:hint="default" w:ascii="Times New Roman" w:hAnsi="Times New Roman" w:cs="Times New Roman"/>
        </w:rPr>
        <w:t>万元。</w:t>
      </w:r>
      <w:r>
        <w:rPr>
          <w:rFonts w:hint="default" w:ascii="Times New Roman" w:hAnsi="Times New Roman" w:eastAsia="仿宋_GB2312" w:cs="Times New Roman"/>
          <w:sz w:val="32"/>
          <w:szCs w:val="32"/>
        </w:rPr>
        <w:t>具体安排情况如下（详见部门预算公开表4,5,6,7）：</w:t>
      </w:r>
    </w:p>
    <w:p w14:paraId="59725234">
      <w:pPr>
        <w:keepNext w:val="0"/>
        <w:keepLines w:val="0"/>
        <w:pageBreakBefore w:val="0"/>
        <w:widowControl w:val="0"/>
        <w:kinsoku/>
        <w:wordWrap/>
        <w:overflowPunct/>
        <w:topLinePunct w:val="0"/>
        <w:autoSpaceDE/>
        <w:autoSpaceDN/>
        <w:bidi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2AFA516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 w:eastAsia="仿宋_GB2312"/>
          <w:sz w:val="32"/>
          <w:szCs w:val="32"/>
          <w:lang w:val="en-US" w:eastAsia="zh-CN"/>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年基本支出</w:t>
      </w:r>
      <w:r>
        <w:rPr>
          <w:rFonts w:hint="eastAsia" w:ascii="Times New Roman" w:hAnsi="Times New Roman" w:eastAsia="仿宋_GB2312" w:cs="Times New Roman"/>
          <w:sz w:val="32"/>
          <w:szCs w:val="32"/>
          <w:lang w:val="en-US" w:eastAsia="zh-CN"/>
        </w:rPr>
        <w:t>682.71</w:t>
      </w:r>
      <w:r>
        <w:rPr>
          <w:rFonts w:hint="default" w:ascii="Times New Roman" w:hAnsi="Times New Roman" w:eastAsia="仿宋_GB2312" w:cs="Times New Roman"/>
          <w:sz w:val="32"/>
          <w:szCs w:val="32"/>
        </w:rPr>
        <w:t>万元，比</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lang w:val="en-US" w:eastAsia="zh-CN"/>
        </w:rPr>
        <w:t>27.14</w:t>
      </w:r>
      <w:r>
        <w:rPr>
          <w:rFonts w:hint="default"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4.14</w:t>
      </w:r>
      <w:r>
        <w:rPr>
          <w:rFonts w:hint="default" w:ascii="Times New Roman" w:hAnsi="Times New Roman" w:eastAsia="仿宋_GB2312" w:cs="Times New Roman"/>
          <w:sz w:val="32"/>
          <w:szCs w:val="32"/>
        </w:rPr>
        <w:t>%，增长的主要原因是</w:t>
      </w:r>
      <w:r>
        <w:rPr>
          <w:rFonts w:hint="eastAsia" w:ascii="仿宋_GB2312" w:hAnsi="仿宋" w:eastAsia="仿宋_GB2312"/>
          <w:sz w:val="32"/>
          <w:szCs w:val="32"/>
          <w:lang w:val="en-US" w:eastAsia="zh-CN"/>
        </w:rPr>
        <w:t>在职人员增加，人员经费增加。</w:t>
      </w:r>
    </w:p>
    <w:p w14:paraId="70883497">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default" w:ascii="Times New Roman" w:hAnsi="Times New Roman" w:eastAsia="仿宋_GB2312" w:cs="Times New Roman"/>
          <w:sz w:val="32"/>
          <w:szCs w:val="32"/>
        </w:rPr>
        <w:t>其中：人员经费支出</w:t>
      </w:r>
      <w:r>
        <w:rPr>
          <w:rFonts w:hint="eastAsia" w:ascii="Times New Roman" w:hAnsi="Times New Roman" w:eastAsia="仿宋_GB2312" w:cs="Times New Roman"/>
          <w:sz w:val="32"/>
          <w:szCs w:val="32"/>
          <w:lang w:val="en-US" w:eastAsia="zh-CN"/>
        </w:rPr>
        <w:t>540.26</w:t>
      </w:r>
      <w:r>
        <w:rPr>
          <w:rFonts w:hint="default" w:ascii="Times New Roman" w:hAnsi="Times New Roman" w:eastAsia="仿宋_GB2312" w:cs="Times New Roman"/>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w:t>
      </w:r>
      <w:r>
        <w:rPr>
          <w:rFonts w:hint="eastAsia" w:ascii="仿宋_GB2312" w:hAnsi="仿宋" w:eastAsia="仿宋_GB2312"/>
          <w:sz w:val="32"/>
          <w:szCs w:val="32"/>
        </w:rPr>
        <w:t>学金、奖励金、个人农业生产补贴、代缴社会保险费 、其他对个人和家庭的补助等。</w:t>
      </w:r>
    </w:p>
    <w:p w14:paraId="5167C9CF">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公用经费支</w:t>
      </w:r>
      <w:r>
        <w:rPr>
          <w:rFonts w:hint="default" w:ascii="Times New Roman" w:hAnsi="Times New Roman" w:eastAsia="仿宋_GB2312" w:cs="Times New Roman"/>
          <w:sz w:val="32"/>
          <w:szCs w:val="32"/>
        </w:rPr>
        <w:t>出</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42.45</w:t>
      </w:r>
      <w:r>
        <w:rPr>
          <w:rFonts w:hint="default" w:ascii="Times New Roman" w:hAnsi="Times New Roman" w:eastAsia="仿宋_GB2312" w:cs="Times New Roman"/>
          <w:sz w:val="32"/>
          <w:szCs w:val="32"/>
        </w:rPr>
        <w:t>万</w:t>
      </w:r>
      <w:r>
        <w:rPr>
          <w:rFonts w:hint="eastAsia" w:ascii="仿宋_GB2312" w:hAnsi="仿宋" w:eastAsia="仿宋_GB2312"/>
          <w:sz w:val="32"/>
          <w:szCs w:val="32"/>
        </w:rPr>
        <w:t>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50611970">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年一般公共预算财政拨款项目支出预算</w:t>
      </w:r>
      <w:r>
        <w:rPr>
          <w:rFonts w:hint="default" w:ascii="Times New Roman" w:hAnsi="Times New Roman" w:eastAsia="仿宋_GB2312" w:cs="Times New Roman"/>
          <w:sz w:val="32"/>
          <w:szCs w:val="32"/>
          <w:lang w:val="en-US" w:eastAsia="zh-CN"/>
        </w:rPr>
        <w:t>81.6</w:t>
      </w:r>
      <w:r>
        <w:rPr>
          <w:rFonts w:hint="default" w:ascii="Times New Roman" w:hAnsi="Times New Roman" w:eastAsia="仿宋_GB2312" w:cs="Times New Roman"/>
          <w:sz w:val="32"/>
          <w:szCs w:val="32"/>
        </w:rPr>
        <w:t>万元，比</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default" w:ascii="Times New Roman" w:hAnsi="Times New Roman" w:eastAsia="仿宋_GB2312" w:cs="Times New Roman"/>
          <w:sz w:val="32"/>
          <w:szCs w:val="32"/>
          <w:lang w:val="en-US" w:eastAsia="zh-CN"/>
        </w:rPr>
        <w:t>无变化。</w:t>
      </w:r>
    </w:p>
    <w:p w14:paraId="2DD7CC27">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部门专项</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个，主要是</w:t>
      </w:r>
      <w:r>
        <w:rPr>
          <w:rFonts w:hint="default" w:ascii="Times New Roman" w:hAnsi="Times New Roman" w:eastAsia="仿宋_GB2312" w:cs="Times New Roman"/>
          <w:sz w:val="32"/>
          <w:szCs w:val="32"/>
          <w:lang w:val="en-US" w:eastAsia="zh-CN"/>
        </w:rPr>
        <w:t>县、乡人大代表活动经费</w:t>
      </w:r>
      <w:r>
        <w:rPr>
          <w:rFonts w:hint="eastAsia" w:ascii="Times New Roman" w:hAnsi="Times New Roman" w:eastAsia="仿宋_GB2312" w:cs="Times New Roman"/>
          <w:sz w:val="32"/>
          <w:szCs w:val="32"/>
          <w:lang w:val="en-US" w:eastAsia="zh-CN"/>
        </w:rPr>
        <w:t>81.6万元</w:t>
      </w:r>
      <w:r>
        <w:rPr>
          <w:rFonts w:hint="default" w:ascii="Times New Roman" w:hAnsi="Times New Roman" w:eastAsia="仿宋_GB2312" w:cs="Times New Roman"/>
          <w:sz w:val="32"/>
          <w:szCs w:val="32"/>
        </w:rPr>
        <w:t>。</w:t>
      </w:r>
    </w:p>
    <w:p w14:paraId="2CA5B858">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4B78C00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eastAsia="仿宋_GB2312"/>
          <w:color w:val="000000"/>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仿宋_GB2312" w:hAnsi="TimesNewRomanPS-BoldMT" w:eastAsia="仿宋_GB2312"/>
          <w:bCs/>
          <w:color w:val="000000"/>
          <w:sz w:val="32"/>
          <w:szCs w:val="32"/>
        </w:rPr>
        <w:t>.</w:t>
      </w:r>
      <w:r>
        <w:rPr>
          <w:rFonts w:hint="eastAsia" w:ascii="仿宋_GB2312" w:eastAsia="仿宋_GB2312"/>
          <w:color w:val="000000"/>
          <w:sz w:val="32"/>
          <w:szCs w:val="32"/>
        </w:rPr>
        <w:t>一般公共服务</w:t>
      </w:r>
      <w:r>
        <w:rPr>
          <w:rFonts w:hint="eastAsia" w:ascii="仿宋_GB2312" w:eastAsia="仿宋_GB2312"/>
          <w:color w:val="000000"/>
          <w:sz w:val="32"/>
          <w:szCs w:val="32"/>
          <w:lang w:val="en-US" w:eastAsia="zh-CN"/>
        </w:rPr>
        <w:t>支出（</w:t>
      </w:r>
      <w:r>
        <w:rPr>
          <w:rFonts w:hint="eastAsia" w:ascii="Times New Roman" w:hAnsi="Times New Roman" w:eastAsia="仿宋_GB2312" w:cs="Times New Roman"/>
          <w:sz w:val="32"/>
          <w:szCs w:val="32"/>
          <w:lang w:val="en-US" w:eastAsia="zh-CN"/>
        </w:rPr>
        <w:t>201</w:t>
      </w:r>
      <w:r>
        <w:rPr>
          <w:rFonts w:hint="eastAsia" w:ascii="仿宋_GB2312" w:eastAsia="仿宋_GB2312"/>
          <w:color w:val="000000"/>
          <w:sz w:val="32"/>
          <w:szCs w:val="32"/>
          <w:lang w:val="en-US" w:eastAsia="zh-CN"/>
        </w:rPr>
        <w:t>类）</w:t>
      </w:r>
      <w:r>
        <w:rPr>
          <w:rFonts w:hint="eastAsia" w:ascii="Times New Roman" w:hAnsi="Times New Roman" w:eastAsia="仿宋_GB2312" w:cs="Times New Roman"/>
          <w:sz w:val="32"/>
          <w:szCs w:val="32"/>
          <w:lang w:val="en-US" w:eastAsia="zh-CN"/>
        </w:rPr>
        <w:t>2026</w:t>
      </w:r>
      <w:r>
        <w:rPr>
          <w:rFonts w:hint="eastAsia" w:ascii="仿宋_GB2312" w:eastAsia="仿宋_GB2312"/>
          <w:color w:val="000000"/>
          <w:sz w:val="32"/>
          <w:szCs w:val="32"/>
        </w:rPr>
        <w:t>年预算数为</w:t>
      </w:r>
      <w:r>
        <w:rPr>
          <w:rFonts w:hint="eastAsia" w:ascii="Times New Roman" w:hAnsi="Times New Roman" w:eastAsia="仿宋_GB2312" w:cs="Times New Roman"/>
          <w:sz w:val="32"/>
          <w:szCs w:val="32"/>
          <w:lang w:val="en-US" w:eastAsia="zh-CN"/>
        </w:rPr>
        <w:t>612.69</w:t>
      </w:r>
      <w:r>
        <w:rPr>
          <w:rFonts w:hint="eastAsia" w:ascii="仿宋_GB2312" w:eastAsia="仿宋_GB2312"/>
          <w:color w:val="000000"/>
          <w:sz w:val="32"/>
          <w:szCs w:val="32"/>
        </w:rPr>
        <w:t>万元， 比</w:t>
      </w:r>
      <w:r>
        <w:rPr>
          <w:rFonts w:hint="eastAsia" w:ascii="Times New Roman" w:hAnsi="Times New Roman" w:eastAsia="仿宋_GB2312" w:cs="Times New Roman"/>
          <w:sz w:val="32"/>
          <w:szCs w:val="32"/>
          <w:lang w:val="en-US" w:eastAsia="zh-CN"/>
        </w:rPr>
        <w:t>2025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w:t>
      </w:r>
      <w:r>
        <w:rPr>
          <w:rFonts w:hint="eastAsia" w:ascii="Times New Roman" w:hAnsi="Times New Roman" w:eastAsia="仿宋_GB2312" w:cs="Times New Roman"/>
          <w:sz w:val="32"/>
          <w:szCs w:val="32"/>
          <w:lang w:val="en-US" w:eastAsia="zh-CN"/>
        </w:rPr>
        <w:t>19.66</w:t>
      </w:r>
      <w:r>
        <w:rPr>
          <w:rFonts w:hint="eastAsia" w:ascii="仿宋_GB2312" w:eastAsia="仿宋_GB2312"/>
          <w:color w:val="000000"/>
          <w:sz w:val="32"/>
          <w:szCs w:val="32"/>
        </w:rPr>
        <w:t>万元，主要原因是</w:t>
      </w:r>
      <w:r>
        <w:rPr>
          <w:rFonts w:hint="eastAsia" w:ascii="Times New Roman" w:hAnsi="Times New Roman" w:eastAsia="仿宋_GB2312" w:cs="Times New Roman"/>
          <w:sz w:val="32"/>
          <w:szCs w:val="32"/>
          <w:lang w:val="en-US" w:eastAsia="zh-CN"/>
        </w:rPr>
        <w:t>2025</w:t>
      </w:r>
      <w:r>
        <w:rPr>
          <w:rFonts w:hint="eastAsia" w:ascii="仿宋_GB2312" w:eastAsia="仿宋_GB2312"/>
          <w:color w:val="000000"/>
          <w:sz w:val="32"/>
          <w:szCs w:val="32"/>
          <w:lang w:val="en-US" w:eastAsia="zh-CN"/>
        </w:rPr>
        <w:t>年在职人员增加，基本工资和津补贴均增加。</w:t>
      </w:r>
    </w:p>
    <w:p w14:paraId="65F0EDB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社会保障和就业支出（</w:t>
      </w:r>
      <w:r>
        <w:rPr>
          <w:rFonts w:hint="eastAsia" w:ascii="Times New Roman" w:hAnsi="Times New Roman" w:eastAsia="仿宋_GB2312" w:cs="Times New Roman"/>
          <w:sz w:val="32"/>
          <w:szCs w:val="32"/>
          <w:lang w:val="en-US" w:eastAsia="zh-CN"/>
        </w:rPr>
        <w:t>208</w:t>
      </w:r>
      <w:r>
        <w:rPr>
          <w:rFonts w:hint="eastAsia" w:ascii="仿宋_GB2312" w:eastAsia="仿宋_GB2312"/>
          <w:color w:val="000000"/>
          <w:sz w:val="32"/>
          <w:szCs w:val="32"/>
          <w:lang w:val="en-US" w:eastAsia="zh-CN"/>
        </w:rPr>
        <w:t>类）</w:t>
      </w:r>
      <w:r>
        <w:rPr>
          <w:rFonts w:hint="eastAsia" w:ascii="Times New Roman" w:hAnsi="Times New Roman" w:eastAsia="仿宋_GB2312" w:cs="Times New Roman"/>
          <w:sz w:val="32"/>
          <w:szCs w:val="32"/>
          <w:lang w:val="en-US" w:eastAsia="zh-CN"/>
        </w:rPr>
        <w:t>2026</w:t>
      </w:r>
      <w:r>
        <w:rPr>
          <w:rFonts w:hint="eastAsia" w:ascii="仿宋_GB2312" w:eastAsia="仿宋_GB2312"/>
          <w:color w:val="000000"/>
          <w:sz w:val="32"/>
          <w:szCs w:val="32"/>
        </w:rPr>
        <w:t>年预算数为</w:t>
      </w:r>
      <w:r>
        <w:rPr>
          <w:rFonts w:hint="eastAsia" w:ascii="Times New Roman" w:hAnsi="Times New Roman" w:eastAsia="仿宋_GB2312" w:cs="Times New Roman"/>
          <w:sz w:val="32"/>
          <w:szCs w:val="32"/>
          <w:lang w:val="en-US" w:eastAsia="zh-CN"/>
        </w:rPr>
        <w:t>81.87</w:t>
      </w:r>
      <w:r>
        <w:rPr>
          <w:rFonts w:hint="eastAsia" w:ascii="仿宋_GB2312" w:eastAsia="仿宋_GB2312"/>
          <w:color w:val="000000"/>
          <w:sz w:val="32"/>
          <w:szCs w:val="32"/>
        </w:rPr>
        <w:t>万元， 比</w:t>
      </w:r>
      <w:r>
        <w:rPr>
          <w:rFonts w:hint="eastAsia" w:ascii="Times New Roman" w:hAnsi="Times New Roman" w:eastAsia="仿宋_GB2312" w:cs="Times New Roman"/>
          <w:sz w:val="32"/>
          <w:szCs w:val="32"/>
          <w:lang w:val="en-US" w:eastAsia="zh-CN"/>
        </w:rPr>
        <w:t>2025</w:t>
      </w:r>
      <w:r>
        <w:rPr>
          <w:rFonts w:hint="eastAsia" w:ascii="仿宋_GB2312" w:eastAsia="仿宋_GB2312"/>
          <w:color w:val="000000"/>
          <w:sz w:val="32"/>
          <w:szCs w:val="32"/>
        </w:rPr>
        <w:t>年预算增加</w:t>
      </w:r>
      <w:r>
        <w:rPr>
          <w:rFonts w:hint="eastAsia" w:ascii="Times New Roman" w:hAnsi="Times New Roman" w:eastAsia="仿宋_GB2312" w:cs="Times New Roman"/>
          <w:sz w:val="32"/>
          <w:szCs w:val="32"/>
          <w:lang w:val="en-US" w:eastAsia="zh-CN"/>
        </w:rPr>
        <w:t>1.92</w:t>
      </w:r>
      <w:r>
        <w:rPr>
          <w:rFonts w:hint="eastAsia" w:ascii="仿宋_GB2312" w:eastAsia="仿宋_GB2312"/>
          <w:color w:val="000000"/>
          <w:sz w:val="32"/>
          <w:szCs w:val="32"/>
        </w:rPr>
        <w:t>万元，主要原因是</w:t>
      </w:r>
      <w:r>
        <w:rPr>
          <w:rFonts w:hint="eastAsia" w:ascii="Times New Roman" w:hAnsi="Times New Roman" w:eastAsia="仿宋_GB2312" w:cs="Times New Roman"/>
          <w:sz w:val="32"/>
          <w:szCs w:val="32"/>
          <w:lang w:val="en-US" w:eastAsia="zh-CN"/>
        </w:rPr>
        <w:t>2025</w:t>
      </w:r>
      <w:r>
        <w:rPr>
          <w:rFonts w:hint="eastAsia" w:ascii="仿宋_GB2312" w:eastAsia="仿宋_GB2312"/>
          <w:color w:val="000000"/>
          <w:sz w:val="32"/>
          <w:szCs w:val="32"/>
          <w:lang w:val="en-US" w:eastAsia="zh-CN"/>
        </w:rPr>
        <w:t>年在职人员增加，机关事业单位基本养老保险缴费支出和机关事业单位职业年金经费支出相应增加。</w:t>
      </w:r>
    </w:p>
    <w:p w14:paraId="44940CB7">
      <w:pPr>
        <w:pStyle w:val="2"/>
        <w:keepNext w:val="0"/>
        <w:keepLines w:val="0"/>
        <w:pageBreakBefore w:val="0"/>
        <w:widowControl w:val="0"/>
        <w:kinsoku/>
        <w:wordWrap/>
        <w:overflowPunct/>
        <w:topLinePunct w:val="0"/>
        <w:autoSpaceDE/>
        <w:autoSpaceDN/>
        <w:bidi w:val="0"/>
        <w:spacing w:line="600" w:lineRule="exact"/>
        <w:ind w:left="0" w:leftChars="0" w:firstLine="640" w:firstLineChars="200"/>
        <w:textAlignment w:val="auto"/>
        <w:rPr>
          <w:rFonts w:hint="eastAsia" w:ascii="仿宋_GB2312" w:eastAsia="仿宋_GB2312"/>
          <w:color w:val="000000"/>
          <w:sz w:val="32"/>
          <w:szCs w:val="32"/>
          <w:lang w:val="en-US" w:eastAsia="zh-CN"/>
        </w:rPr>
      </w:pPr>
      <w:r>
        <w:rPr>
          <w:rFonts w:hint="eastAsia" w:ascii="Times New Roman" w:hAnsi="Times New Roman" w:eastAsia="仿宋_GB2312" w:cs="Times New Roman"/>
          <w:kern w:val="2"/>
          <w:sz w:val="32"/>
          <w:szCs w:val="32"/>
          <w:lang w:val="en-US" w:eastAsia="zh-CN" w:bidi="ar-SA"/>
        </w:rPr>
        <w:t>3</w:t>
      </w:r>
      <w:r>
        <w:rPr>
          <w:rFonts w:hint="eastAsia" w:ascii="仿宋_GB2312" w:eastAsia="仿宋_GB2312"/>
          <w:color w:val="000000"/>
          <w:sz w:val="32"/>
          <w:szCs w:val="32"/>
          <w:lang w:val="en-US" w:eastAsia="zh-CN"/>
        </w:rPr>
        <w:t>.卫生健康支出（</w:t>
      </w:r>
      <w:r>
        <w:rPr>
          <w:rFonts w:hint="eastAsia" w:ascii="Times New Roman" w:hAnsi="Times New Roman" w:eastAsia="仿宋_GB2312" w:cs="Times New Roman"/>
          <w:kern w:val="2"/>
          <w:sz w:val="32"/>
          <w:szCs w:val="32"/>
          <w:lang w:val="en-US" w:eastAsia="zh-CN" w:bidi="ar-SA"/>
        </w:rPr>
        <w:t>210</w:t>
      </w:r>
      <w:r>
        <w:rPr>
          <w:rFonts w:hint="eastAsia" w:ascii="仿宋_GB2312" w:eastAsia="仿宋_GB2312"/>
          <w:color w:val="000000"/>
          <w:sz w:val="32"/>
          <w:szCs w:val="32"/>
          <w:lang w:val="en-US" w:eastAsia="zh-CN"/>
        </w:rPr>
        <w:t>类）</w:t>
      </w:r>
      <w:r>
        <w:rPr>
          <w:rFonts w:hint="eastAsia" w:eastAsia="仿宋_GB2312" w:cs="Times New Roman"/>
          <w:color w:val="000000"/>
          <w:sz w:val="32"/>
          <w:szCs w:val="32"/>
          <w:lang w:eastAsia="zh-CN"/>
        </w:rPr>
        <w:t>2026</w:t>
      </w:r>
      <w:r>
        <w:rPr>
          <w:rFonts w:hint="eastAsia" w:ascii="仿宋_GB2312" w:eastAsia="仿宋_GB2312"/>
          <w:color w:val="000000"/>
          <w:sz w:val="32"/>
          <w:szCs w:val="32"/>
        </w:rPr>
        <w:t>年预算数为</w:t>
      </w:r>
      <w:r>
        <w:rPr>
          <w:rFonts w:hint="eastAsia" w:eastAsia="仿宋_GB2312" w:cs="Times New Roman"/>
          <w:kern w:val="2"/>
          <w:sz w:val="32"/>
          <w:szCs w:val="32"/>
          <w:lang w:val="en-US" w:eastAsia="zh-CN" w:bidi="ar-SA"/>
        </w:rPr>
        <w:t>30.03</w:t>
      </w:r>
      <w:r>
        <w:rPr>
          <w:rFonts w:hint="eastAsia" w:ascii="仿宋_GB2312" w:eastAsia="仿宋_GB2312"/>
          <w:color w:val="000000"/>
          <w:sz w:val="32"/>
          <w:szCs w:val="32"/>
        </w:rPr>
        <w:t>万元， 比</w:t>
      </w:r>
      <w:r>
        <w:rPr>
          <w:rFonts w:hint="eastAsia" w:eastAsia="仿宋_GB2312" w:cs="Times New Roman"/>
          <w:kern w:val="2"/>
          <w:sz w:val="32"/>
          <w:szCs w:val="32"/>
          <w:lang w:val="en-US" w:eastAsia="zh-CN" w:bidi="ar-SA"/>
        </w:rPr>
        <w:t>2025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w:t>
      </w:r>
      <w:r>
        <w:rPr>
          <w:rFonts w:hint="default" w:ascii="Times New Roman" w:hAnsi="Times New Roman" w:eastAsia="仿宋_GB2312" w:cs="Times New Roman"/>
          <w:color w:val="000000"/>
          <w:sz w:val="32"/>
          <w:szCs w:val="32"/>
          <w:lang w:val="en-US" w:eastAsia="zh-CN"/>
        </w:rPr>
        <w:t>加2.75</w:t>
      </w:r>
      <w:r>
        <w:rPr>
          <w:rFonts w:hint="default" w:ascii="Times New Roman" w:hAnsi="Times New Roman" w:eastAsia="仿宋_GB2312" w:cs="Times New Roman"/>
          <w:color w:val="000000"/>
          <w:sz w:val="32"/>
          <w:szCs w:val="32"/>
        </w:rPr>
        <w:t>万元，</w:t>
      </w:r>
      <w:r>
        <w:rPr>
          <w:rFonts w:hint="eastAsia" w:ascii="仿宋_GB2312" w:eastAsia="仿宋_GB2312"/>
          <w:color w:val="000000"/>
          <w:sz w:val="32"/>
          <w:szCs w:val="32"/>
        </w:rPr>
        <w:t>主要原因是</w:t>
      </w:r>
      <w:r>
        <w:rPr>
          <w:rFonts w:hint="eastAsia" w:eastAsia="仿宋_GB2312" w:cs="Times New Roman"/>
          <w:kern w:val="2"/>
          <w:sz w:val="32"/>
          <w:szCs w:val="32"/>
          <w:lang w:val="en-US" w:eastAsia="zh-CN" w:bidi="ar-SA"/>
        </w:rPr>
        <w:t>2025</w:t>
      </w:r>
      <w:r>
        <w:rPr>
          <w:rFonts w:hint="eastAsia" w:ascii="仿宋_GB2312" w:eastAsia="仿宋_GB2312"/>
          <w:color w:val="000000"/>
          <w:sz w:val="32"/>
          <w:szCs w:val="32"/>
          <w:lang w:val="en-US" w:eastAsia="zh-CN"/>
        </w:rPr>
        <w:t>年在职人员增加，基本医疗保险和补充医疗保险均增加。</w:t>
      </w:r>
    </w:p>
    <w:p w14:paraId="1CB68FAD">
      <w:pPr>
        <w:pStyle w:val="2"/>
        <w:keepNext w:val="0"/>
        <w:keepLines w:val="0"/>
        <w:pageBreakBefore w:val="0"/>
        <w:widowControl w:val="0"/>
        <w:kinsoku/>
        <w:wordWrap/>
        <w:overflowPunct/>
        <w:topLinePunct w:val="0"/>
        <w:autoSpaceDE/>
        <w:autoSpaceDN/>
        <w:bidi w:val="0"/>
        <w:spacing w:line="600" w:lineRule="exact"/>
        <w:ind w:left="0" w:leftChars="0" w:firstLine="640" w:firstLineChars="200"/>
        <w:textAlignment w:val="auto"/>
        <w:rPr>
          <w:rFonts w:hint="default" w:ascii="仿宋_GB2312" w:eastAsia="仿宋_GB2312"/>
          <w:color w:val="000000"/>
          <w:sz w:val="32"/>
          <w:szCs w:val="32"/>
          <w:lang w:val="en-US" w:eastAsia="zh-CN"/>
        </w:rPr>
      </w:pPr>
      <w:r>
        <w:rPr>
          <w:rFonts w:hint="eastAsia" w:ascii="Times New Roman" w:hAnsi="Times New Roman" w:eastAsia="仿宋_GB2312" w:cs="Times New Roman"/>
          <w:kern w:val="2"/>
          <w:sz w:val="32"/>
          <w:szCs w:val="32"/>
          <w:lang w:val="en-US" w:eastAsia="zh-CN" w:bidi="ar-SA"/>
        </w:rPr>
        <w:t>4</w:t>
      </w:r>
      <w:r>
        <w:rPr>
          <w:rFonts w:hint="eastAsia" w:ascii="仿宋_GB2312" w:eastAsia="仿宋_GB2312"/>
          <w:color w:val="000000"/>
          <w:sz w:val="32"/>
          <w:szCs w:val="32"/>
          <w:lang w:val="en-US" w:eastAsia="zh-CN"/>
        </w:rPr>
        <w:t>.住房保障支出（</w:t>
      </w:r>
      <w:r>
        <w:rPr>
          <w:rFonts w:hint="eastAsia" w:ascii="Times New Roman" w:hAnsi="Times New Roman" w:eastAsia="仿宋_GB2312" w:cs="Times New Roman"/>
          <w:kern w:val="2"/>
          <w:sz w:val="32"/>
          <w:szCs w:val="32"/>
          <w:lang w:val="en-US" w:eastAsia="zh-CN" w:bidi="ar-SA"/>
        </w:rPr>
        <w:t>221</w:t>
      </w:r>
      <w:r>
        <w:rPr>
          <w:rFonts w:hint="eastAsia" w:ascii="仿宋_GB2312" w:eastAsia="仿宋_GB2312"/>
          <w:color w:val="000000"/>
          <w:sz w:val="32"/>
          <w:szCs w:val="32"/>
          <w:lang w:val="en-US" w:eastAsia="zh-CN"/>
        </w:rPr>
        <w:t>类）</w:t>
      </w:r>
      <w:r>
        <w:rPr>
          <w:rFonts w:hint="eastAsia" w:eastAsia="仿宋_GB2312" w:cs="Times New Roman"/>
          <w:kern w:val="2"/>
          <w:sz w:val="32"/>
          <w:szCs w:val="32"/>
          <w:lang w:val="en-US" w:eastAsia="zh-CN" w:bidi="ar-SA"/>
        </w:rPr>
        <w:t>2026</w:t>
      </w:r>
      <w:r>
        <w:rPr>
          <w:rFonts w:hint="eastAsia" w:ascii="仿宋_GB2312" w:eastAsia="仿宋_GB2312"/>
          <w:color w:val="000000"/>
          <w:sz w:val="32"/>
          <w:szCs w:val="32"/>
        </w:rPr>
        <w:t>年预算数为</w:t>
      </w:r>
      <w:r>
        <w:rPr>
          <w:rFonts w:hint="eastAsia" w:ascii="Times New Roman" w:hAnsi="Times New Roman" w:eastAsia="仿宋_GB2312" w:cs="Times New Roman"/>
          <w:kern w:val="2"/>
          <w:sz w:val="32"/>
          <w:szCs w:val="32"/>
          <w:lang w:val="en-US" w:eastAsia="zh-CN" w:bidi="ar-SA"/>
        </w:rPr>
        <w:t>3</w:t>
      </w:r>
      <w:r>
        <w:rPr>
          <w:rFonts w:hint="eastAsia" w:eastAsia="仿宋_GB2312" w:cs="Times New Roman"/>
          <w:kern w:val="2"/>
          <w:sz w:val="32"/>
          <w:szCs w:val="32"/>
          <w:lang w:val="en-US" w:eastAsia="zh-CN" w:bidi="ar-SA"/>
        </w:rPr>
        <w:t>9.72</w:t>
      </w:r>
      <w:r>
        <w:rPr>
          <w:rFonts w:hint="eastAsia" w:ascii="仿宋_GB2312" w:eastAsia="仿宋_GB2312"/>
          <w:color w:val="000000"/>
          <w:sz w:val="32"/>
          <w:szCs w:val="32"/>
        </w:rPr>
        <w:t>万元， 比</w:t>
      </w:r>
      <w:r>
        <w:rPr>
          <w:rFonts w:hint="eastAsia" w:eastAsia="仿宋_GB2312" w:cs="Times New Roman"/>
          <w:kern w:val="2"/>
          <w:sz w:val="32"/>
          <w:szCs w:val="32"/>
          <w:lang w:val="en-US" w:eastAsia="zh-CN" w:bidi="ar-SA"/>
        </w:rPr>
        <w:t>2025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w:t>
      </w:r>
      <w:r>
        <w:rPr>
          <w:rFonts w:hint="eastAsia" w:eastAsia="仿宋_GB2312" w:cs="Times New Roman"/>
          <w:kern w:val="2"/>
          <w:sz w:val="32"/>
          <w:szCs w:val="32"/>
          <w:lang w:val="en-US" w:eastAsia="zh-CN" w:bidi="ar-SA"/>
        </w:rPr>
        <w:t>2.81</w:t>
      </w:r>
      <w:r>
        <w:rPr>
          <w:rFonts w:hint="eastAsia" w:ascii="仿宋_GB2312" w:eastAsia="仿宋_GB2312"/>
          <w:color w:val="000000"/>
          <w:sz w:val="32"/>
          <w:szCs w:val="32"/>
        </w:rPr>
        <w:t>万元，主要原因是</w:t>
      </w:r>
      <w:r>
        <w:rPr>
          <w:rFonts w:hint="eastAsia" w:eastAsia="仿宋_GB2312" w:cs="Times New Roman"/>
          <w:kern w:val="2"/>
          <w:sz w:val="32"/>
          <w:szCs w:val="32"/>
          <w:lang w:val="en-US" w:eastAsia="zh-CN" w:bidi="ar-SA"/>
        </w:rPr>
        <w:t>2025</w:t>
      </w:r>
      <w:r>
        <w:rPr>
          <w:rFonts w:hint="eastAsia" w:ascii="仿宋_GB2312" w:eastAsia="仿宋_GB2312"/>
          <w:color w:val="000000"/>
          <w:sz w:val="32"/>
          <w:szCs w:val="32"/>
          <w:lang w:val="en-US" w:eastAsia="zh-CN"/>
        </w:rPr>
        <w:t>年在职人员增加，住房公积金相应增加。</w:t>
      </w:r>
    </w:p>
    <w:p w14:paraId="0A65071F">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五、部门一般公共预算财政拨款“三公”经费、培训费、会议费等情况</w:t>
      </w:r>
    </w:p>
    <w:p w14:paraId="1A1EA64C">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仿宋_GB2312" w:cs="Times New Roman"/>
          <w:b/>
          <w:kern w:val="0"/>
          <w:sz w:val="32"/>
          <w:szCs w:val="32"/>
          <w:lang w:val="en-US" w:eastAsia="zh-CN"/>
        </w:rPr>
      </w:pPr>
      <w:r>
        <w:rPr>
          <w:rFonts w:hint="default" w:ascii="Times New Roman" w:hAnsi="Times New Roman" w:eastAsia="仿宋_GB2312" w:cs="Times New Roman"/>
          <w:sz w:val="32"/>
          <w:szCs w:val="32"/>
        </w:rPr>
        <w:t>“三公”经费预算</w:t>
      </w:r>
      <w:r>
        <w:rPr>
          <w:rFonts w:hint="default" w:ascii="Times New Roman" w:hAnsi="Times New Roman" w:eastAsia="仿宋_GB2312" w:cs="Times New Roman"/>
          <w:sz w:val="32"/>
          <w:szCs w:val="32"/>
          <w:lang w:val="en-US" w:eastAsia="zh-CN"/>
        </w:rPr>
        <w:t>6.8</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default" w:ascii="Times New Roman" w:hAnsi="Times New Roman" w:eastAsia="仿宋_GB2312" w:cs="Times New Roman"/>
          <w:sz w:val="32"/>
          <w:szCs w:val="32"/>
          <w:lang w:val="en-US" w:eastAsia="zh-CN"/>
        </w:rPr>
        <w:t>无变化。</w:t>
      </w:r>
    </w:p>
    <w:p w14:paraId="2C1E118B">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1.因公出国（境）费用</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val="en-US" w:eastAsia="zh-CN"/>
        </w:rPr>
        <w:t>无变化</w:t>
      </w:r>
      <w:r>
        <w:rPr>
          <w:rFonts w:hint="default" w:ascii="Times New Roman" w:hAnsi="Times New Roman" w:eastAsia="仿宋_GB2312" w:cs="Times New Roman"/>
          <w:sz w:val="32"/>
          <w:szCs w:val="32"/>
        </w:rPr>
        <w:t>。</w:t>
      </w:r>
    </w:p>
    <w:p w14:paraId="0F5E9B49">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2.公务接待费</w:t>
      </w:r>
      <w:r>
        <w:rPr>
          <w:rFonts w:hint="eastAsia"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val="en-US" w:eastAsia="zh-CN"/>
        </w:rPr>
        <w:t>无变化</w:t>
      </w:r>
      <w:r>
        <w:rPr>
          <w:rFonts w:hint="default" w:ascii="Times New Roman" w:hAnsi="Times New Roman" w:eastAsia="仿宋_GB2312" w:cs="Times New Roman"/>
          <w:sz w:val="32"/>
          <w:szCs w:val="32"/>
        </w:rPr>
        <w:t>。</w:t>
      </w:r>
    </w:p>
    <w:p w14:paraId="6CC67525">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3.公务用车购置及运行维护费</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万元（其中：公务用车购置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万元，公务用车运行维护费</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val="en-US" w:eastAsia="zh-CN"/>
        </w:rPr>
        <w:t>无变化</w:t>
      </w:r>
      <w:r>
        <w:rPr>
          <w:rFonts w:hint="default" w:ascii="Times New Roman" w:hAnsi="Times New Roman" w:eastAsia="仿宋_GB2312" w:cs="Times New Roman"/>
          <w:sz w:val="32"/>
          <w:szCs w:val="32"/>
        </w:rPr>
        <w:t>。</w:t>
      </w:r>
    </w:p>
    <w:p w14:paraId="3C18502F">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4.培训费</w:t>
      </w:r>
      <w:r>
        <w:rPr>
          <w:rFonts w:hint="default" w:ascii="Times New Roman" w:hAnsi="Times New Roman" w:eastAsia="仿宋_GB2312" w:cs="Times New Roman"/>
          <w:sz w:val="32"/>
          <w:szCs w:val="32"/>
          <w:lang w:val="en-US" w:eastAsia="zh-CN"/>
        </w:rPr>
        <w:t>24.16</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年预算减少</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万元，下降</w:t>
      </w:r>
      <w:r>
        <w:rPr>
          <w:rFonts w:hint="eastAsia" w:ascii="Times New Roman" w:hAnsi="Times New Roman" w:eastAsia="仿宋_GB2312" w:cs="Times New Roman"/>
          <w:sz w:val="32"/>
          <w:szCs w:val="32"/>
          <w:lang w:val="en-US" w:eastAsia="zh-CN"/>
        </w:rPr>
        <w:t>11.05</w:t>
      </w:r>
      <w:r>
        <w:rPr>
          <w:rFonts w:hint="default" w:ascii="Times New Roman" w:hAnsi="Times New Roman" w:eastAsia="仿宋_GB2312" w:cs="Times New Roman"/>
          <w:sz w:val="32"/>
          <w:szCs w:val="32"/>
        </w:rPr>
        <w:t>%，下降的主要原因是</w:t>
      </w:r>
      <w:r>
        <w:rPr>
          <w:rFonts w:hint="eastAsia" w:ascii="仿宋_GB2312" w:hAnsi="仿宋" w:eastAsia="仿宋_GB2312"/>
          <w:sz w:val="32"/>
          <w:szCs w:val="32"/>
          <w:lang w:val="en-US" w:eastAsia="zh-CN"/>
        </w:rPr>
        <w:t>积极落实过紧日子要求，节约培训成本</w:t>
      </w:r>
      <w:r>
        <w:rPr>
          <w:rFonts w:hint="default" w:ascii="Times New Roman" w:hAnsi="Times New Roman" w:eastAsia="仿宋_GB2312" w:cs="Times New Roman"/>
          <w:sz w:val="32"/>
          <w:szCs w:val="32"/>
        </w:rPr>
        <w:t>。</w:t>
      </w:r>
    </w:p>
    <w:p w14:paraId="27BFF129">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（三）会议费预算情况说明</w:t>
      </w:r>
    </w:p>
    <w:p w14:paraId="1A3C893B">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5.会议费</w:t>
      </w:r>
      <w:r>
        <w:rPr>
          <w:rFonts w:hint="eastAsia" w:ascii="Times New Roman" w:hAnsi="Times New Roman" w:eastAsia="仿宋_GB2312" w:cs="Times New Roman"/>
          <w:sz w:val="32"/>
          <w:szCs w:val="32"/>
          <w:lang w:val="en-US" w:eastAsia="zh-CN"/>
        </w:rPr>
        <w:t>5.8</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年预算减少</w:t>
      </w: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万元，下降</w:t>
      </w:r>
      <w:r>
        <w:rPr>
          <w:rFonts w:hint="eastAsia" w:ascii="Times New Roman" w:hAnsi="Times New Roman" w:eastAsia="仿宋_GB2312" w:cs="Times New Roman"/>
          <w:sz w:val="32"/>
          <w:szCs w:val="32"/>
          <w:lang w:val="en-US" w:eastAsia="zh-CN"/>
        </w:rPr>
        <w:t>21.62</w:t>
      </w:r>
      <w:r>
        <w:rPr>
          <w:rFonts w:hint="default" w:ascii="Times New Roman" w:hAnsi="Times New Roman" w:eastAsia="仿宋_GB2312" w:cs="Times New Roman"/>
          <w:sz w:val="32"/>
          <w:szCs w:val="32"/>
        </w:rPr>
        <w:t>%，下降的主要原因是</w:t>
      </w:r>
      <w:r>
        <w:rPr>
          <w:rFonts w:hint="eastAsia" w:ascii="仿宋_GB2312" w:hAnsi="仿宋" w:eastAsia="仿宋_GB2312"/>
          <w:sz w:val="32"/>
          <w:szCs w:val="32"/>
          <w:lang w:val="en-US" w:eastAsia="zh-CN"/>
        </w:rPr>
        <w:t>积极落实过紧日子要求，节约会议成本</w:t>
      </w:r>
      <w:r>
        <w:rPr>
          <w:rFonts w:hint="default" w:ascii="Times New Roman" w:hAnsi="Times New Roman" w:eastAsia="仿宋_GB2312" w:cs="Times New Roman"/>
          <w:sz w:val="32"/>
          <w:szCs w:val="32"/>
        </w:rPr>
        <w:t>。</w:t>
      </w:r>
    </w:p>
    <w:p w14:paraId="7D35BB7E">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机关运行经费</w:t>
      </w:r>
      <w:r>
        <w:rPr>
          <w:rFonts w:hint="default"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lang w:val="en-US" w:eastAsia="zh-CN"/>
        </w:rPr>
        <w:t>5.66</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val="en-US" w:eastAsia="zh-CN"/>
        </w:rPr>
        <w:t>增加1.89</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增长1.82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增加</w:t>
      </w:r>
      <w:r>
        <w:rPr>
          <w:rFonts w:hint="default" w:ascii="Times New Roman" w:hAnsi="Times New Roman" w:eastAsia="仿宋_GB2312" w:cs="Times New Roman"/>
          <w:sz w:val="32"/>
          <w:szCs w:val="32"/>
        </w:rPr>
        <w:t>的主要原因是</w:t>
      </w:r>
      <w:r>
        <w:rPr>
          <w:rFonts w:hint="eastAsia" w:ascii="仿宋_GB2312" w:hAnsi="仿宋" w:eastAsia="仿宋_GB2312"/>
          <w:sz w:val="32"/>
          <w:szCs w:val="32"/>
          <w:lang w:val="en-US" w:eastAsia="zh-CN"/>
        </w:rPr>
        <w:t>残疾人保障金增加，其他商品和服务支出增加</w:t>
      </w:r>
      <w:r>
        <w:rPr>
          <w:rFonts w:hint="default" w:ascii="Times New Roman" w:hAnsi="Times New Roman" w:eastAsia="仿宋_GB2312" w:cs="Times New Roman"/>
          <w:sz w:val="32"/>
          <w:szCs w:val="32"/>
        </w:rPr>
        <w:t>。</w:t>
      </w:r>
    </w:p>
    <w:p w14:paraId="57B4FFAE">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年，部门政府采购预算总额</w:t>
      </w:r>
      <w:r>
        <w:rPr>
          <w:rFonts w:hint="eastAsia" w:ascii="Times New Roman" w:hAnsi="Times New Roman" w:eastAsia="仿宋_GB2312" w:cs="Times New Roman"/>
          <w:sz w:val="32"/>
          <w:szCs w:val="32"/>
          <w:lang w:val="en-US" w:eastAsia="zh-CN"/>
        </w:rPr>
        <w:t>40.44</w:t>
      </w:r>
      <w:r>
        <w:rPr>
          <w:rFonts w:hint="default" w:ascii="Times New Roman" w:hAnsi="Times New Roman" w:eastAsia="仿宋_GB2312" w:cs="Times New Roman"/>
          <w:sz w:val="32"/>
          <w:szCs w:val="32"/>
        </w:rPr>
        <w:t>万元，其中：政府采购货物预算</w:t>
      </w:r>
      <w:r>
        <w:rPr>
          <w:rFonts w:hint="eastAsia" w:ascii="Times New Roman" w:hAnsi="Times New Roman" w:eastAsia="仿宋_GB2312" w:cs="Times New Roman"/>
          <w:sz w:val="32"/>
          <w:szCs w:val="32"/>
          <w:lang w:val="en-US" w:eastAsia="zh-CN"/>
        </w:rPr>
        <w:t>17.88</w:t>
      </w:r>
      <w:r>
        <w:rPr>
          <w:rFonts w:hint="default" w:ascii="Times New Roman" w:hAnsi="Times New Roman" w:eastAsia="仿宋_GB2312" w:cs="Times New Roman"/>
          <w:sz w:val="32"/>
          <w:szCs w:val="32"/>
        </w:rPr>
        <w:t>万元，政府采购工程预算</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万元，政府采购服务预算</w:t>
      </w:r>
      <w:r>
        <w:rPr>
          <w:rFonts w:hint="eastAsia" w:ascii="Times New Roman" w:hAnsi="Times New Roman" w:eastAsia="仿宋_GB2312" w:cs="Times New Roman"/>
          <w:sz w:val="32"/>
          <w:szCs w:val="32"/>
          <w:lang w:val="en-US" w:eastAsia="zh-CN"/>
        </w:rPr>
        <w:t>22.56</w:t>
      </w:r>
      <w:r>
        <w:rPr>
          <w:rFonts w:hint="default" w:ascii="Times New Roman" w:hAnsi="Times New Roman" w:eastAsia="仿宋_GB2312" w:cs="Times New Roman"/>
          <w:sz w:val="32"/>
          <w:szCs w:val="32"/>
        </w:rPr>
        <w:t>万元。</w:t>
      </w:r>
    </w:p>
    <w:p w14:paraId="51697EF6">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年，部门面向中小企业预留政府采购项目预算金额</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万元，小微企业预留政府采购项目预算金额</w:t>
      </w:r>
      <w:r>
        <w:rPr>
          <w:rFonts w:hint="eastAsia" w:ascii="Times New Roman" w:hAnsi="Times New Roman" w:eastAsia="仿宋_GB2312" w:cs="Times New Roman"/>
          <w:sz w:val="32"/>
          <w:szCs w:val="32"/>
          <w:lang w:val="en-US" w:eastAsia="zh-CN"/>
        </w:rPr>
        <w:t>40.44</w:t>
      </w:r>
      <w:r>
        <w:rPr>
          <w:rFonts w:hint="default" w:ascii="Times New Roman" w:hAnsi="Times New Roman" w:eastAsia="仿宋_GB2312" w:cs="Times New Roman"/>
          <w:sz w:val="32"/>
          <w:szCs w:val="32"/>
        </w:rPr>
        <w:t>万元。</w:t>
      </w:r>
    </w:p>
    <w:p w14:paraId="6A193527">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八、国有资产占用情况</w:t>
      </w:r>
    </w:p>
    <w:p w14:paraId="7051FECE">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244.92</w:t>
      </w:r>
      <w:r>
        <w:rPr>
          <w:rFonts w:hint="default" w:ascii="Times New Roman" w:hAnsi="Times New Roman" w:eastAsia="仿宋_GB2312" w:cs="Times New Roman"/>
          <w:sz w:val="32"/>
          <w:szCs w:val="32"/>
        </w:rPr>
        <w:t>万元。其中：办公用房</w:t>
      </w:r>
      <w:r>
        <w:rPr>
          <w:rFonts w:hint="default" w:ascii="Times New Roman" w:hAnsi="Times New Roman" w:eastAsia="仿宋_GB2312" w:cs="Times New Roman"/>
          <w:sz w:val="32"/>
          <w:szCs w:val="32"/>
          <w:lang w:val="en-US" w:eastAsia="zh-CN"/>
        </w:rPr>
        <w:t>1497.9</w:t>
      </w:r>
      <w:r>
        <w:rPr>
          <w:rFonts w:hint="default" w:ascii="Times New Roman" w:hAnsi="Times New Roman" w:eastAsia="仿宋_GB2312" w:cs="Times New Roman"/>
          <w:sz w:val="32"/>
          <w:szCs w:val="32"/>
        </w:rPr>
        <w:t>平方米，价值</w:t>
      </w:r>
      <w:r>
        <w:rPr>
          <w:rFonts w:hint="eastAsia" w:ascii="Times New Roman" w:hAnsi="Times New Roman" w:eastAsia="仿宋_GB2312" w:cs="Times New Roman"/>
          <w:sz w:val="32"/>
          <w:szCs w:val="32"/>
          <w:lang w:val="en-US" w:eastAsia="zh-CN"/>
        </w:rPr>
        <w:t>142.16</w:t>
      </w:r>
      <w:r>
        <w:rPr>
          <w:rFonts w:hint="default" w:ascii="Times New Roman" w:hAnsi="Times New Roman" w:eastAsia="仿宋_GB2312" w:cs="Times New Roman"/>
          <w:sz w:val="32"/>
          <w:szCs w:val="32"/>
        </w:rPr>
        <w:t>万元。预算部门共有公务用车</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辆，价值</w:t>
      </w:r>
      <w:r>
        <w:rPr>
          <w:rFonts w:hint="eastAsia" w:ascii="Times New Roman" w:hAnsi="Times New Roman" w:eastAsia="仿宋_GB2312" w:cs="Times New Roman"/>
          <w:sz w:val="32"/>
          <w:szCs w:val="32"/>
          <w:lang w:val="en-US" w:eastAsia="zh-CN"/>
        </w:rPr>
        <w:t>17.98</w:t>
      </w:r>
      <w:r>
        <w:rPr>
          <w:rFonts w:hint="default" w:ascii="Times New Roman" w:hAnsi="Times New Roman" w:eastAsia="仿宋_GB2312" w:cs="Times New Roman"/>
          <w:sz w:val="32"/>
          <w:szCs w:val="32"/>
        </w:rPr>
        <w:t>万元。单价20万元以上的设备价值</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20</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年拟采购固定资产约</w:t>
      </w:r>
      <w:r>
        <w:rPr>
          <w:rFonts w:hint="eastAsia" w:ascii="Times New Roman" w:hAnsi="Times New Roman" w:eastAsia="仿宋_GB2312" w:cs="Times New Roman"/>
          <w:sz w:val="32"/>
          <w:szCs w:val="32"/>
          <w:lang w:val="en-US" w:eastAsia="zh-CN"/>
        </w:rPr>
        <w:t>2.88万</w:t>
      </w:r>
      <w:r>
        <w:rPr>
          <w:rFonts w:hint="default" w:ascii="Times New Roman" w:hAnsi="Times New Roman" w:eastAsia="仿宋_GB2312" w:cs="Times New Roman"/>
          <w:sz w:val="32"/>
          <w:szCs w:val="32"/>
        </w:rPr>
        <w:t>元。</w:t>
      </w:r>
    </w:p>
    <w:p w14:paraId="4AAB33A2">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九、其他重要事项情况说明</w:t>
      </w:r>
    </w:p>
    <w:p w14:paraId="4B4945E4">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（一）政府性基金预算支出情况</w:t>
      </w:r>
    </w:p>
    <w:p w14:paraId="243CEA8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本部门</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年无非税收入</w:t>
      </w:r>
      <w:r>
        <w:rPr>
          <w:rFonts w:hint="default" w:ascii="Times New Roman" w:hAnsi="Times New Roman" w:eastAsia="仿宋_GB2312" w:cs="Times New Roman"/>
          <w:sz w:val="32"/>
          <w:szCs w:val="32"/>
          <w:lang w:eastAsia="zh-CN"/>
        </w:rPr>
        <w:t>。</w:t>
      </w:r>
    </w:p>
    <w:p w14:paraId="09CA2645">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F217AF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项目名称：</w:t>
      </w:r>
      <w:r>
        <w:rPr>
          <w:rFonts w:hint="default" w:ascii="Times New Roman" w:hAnsi="Times New Roman" w:eastAsia="仿宋_GB2312" w:cs="Times New Roman"/>
          <w:sz w:val="32"/>
          <w:szCs w:val="32"/>
          <w:lang w:val="en-US" w:eastAsia="zh-CN"/>
        </w:rPr>
        <w:t>县</w:t>
      </w:r>
      <w:r>
        <w:rPr>
          <w:rFonts w:hint="eastAsia" w:ascii="Times New Roman" w:hAnsi="Times New Roman" w:eastAsia="仿宋_GB2312" w:cs="Times New Roman"/>
          <w:sz w:val="32"/>
          <w:szCs w:val="32"/>
          <w:lang w:val="en-US" w:eastAsia="zh-CN"/>
        </w:rPr>
        <w:t>、乡</w:t>
      </w:r>
      <w:r>
        <w:rPr>
          <w:rFonts w:hint="default" w:ascii="Times New Roman" w:hAnsi="Times New Roman" w:eastAsia="仿宋_GB2312" w:cs="Times New Roman"/>
          <w:sz w:val="32"/>
          <w:szCs w:val="32"/>
          <w:lang w:val="en-US" w:eastAsia="zh-CN"/>
        </w:rPr>
        <w:t>人大代表活动经费</w:t>
      </w:r>
    </w:p>
    <w:p w14:paraId="32080736">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项目概况：</w:t>
      </w:r>
      <w:r>
        <w:rPr>
          <w:rFonts w:hint="eastAsia" w:ascii="仿宋_GB2312" w:hAnsi="仿宋" w:eastAsia="仿宋_GB2312"/>
          <w:sz w:val="32"/>
          <w:szCs w:val="32"/>
        </w:rPr>
        <w:t>针对人大代表履职情况，开展县、乡</w:t>
      </w:r>
      <w:r>
        <w:rPr>
          <w:rFonts w:hint="eastAsia" w:ascii="仿宋_GB2312" w:hAnsi="仿宋" w:eastAsia="仿宋_GB2312"/>
          <w:sz w:val="32"/>
          <w:szCs w:val="32"/>
          <w:lang w:eastAsia="zh-CN"/>
        </w:rPr>
        <w:t>（</w:t>
      </w:r>
      <w:r>
        <w:rPr>
          <w:rFonts w:hint="eastAsia" w:ascii="仿宋_GB2312" w:hAnsi="仿宋" w:eastAsia="仿宋_GB2312"/>
          <w:sz w:val="32"/>
          <w:szCs w:val="32"/>
        </w:rPr>
        <w:t>镇</w:t>
      </w:r>
      <w:r>
        <w:rPr>
          <w:rFonts w:hint="eastAsia" w:ascii="仿宋_GB2312" w:hAnsi="仿宋" w:eastAsia="仿宋_GB2312"/>
          <w:sz w:val="32"/>
          <w:szCs w:val="32"/>
          <w:lang w:eastAsia="zh-CN"/>
        </w:rPr>
        <w:t>）</w:t>
      </w:r>
      <w:r>
        <w:rPr>
          <w:rFonts w:hint="eastAsia" w:ascii="仿宋_GB2312" w:hAnsi="仿宋" w:eastAsia="仿宋_GB2312"/>
          <w:sz w:val="32"/>
          <w:szCs w:val="32"/>
        </w:rPr>
        <w:t>人大代表履职能力培训班，切实提高代表的依法履职能力。</w:t>
      </w:r>
    </w:p>
    <w:p w14:paraId="4859C61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立项依据：</w:t>
      </w:r>
      <w:r>
        <w:rPr>
          <w:rFonts w:hint="eastAsia" w:ascii="仿宋_GB2312" w:hAnsi="仿宋" w:eastAsia="仿宋_GB2312"/>
          <w:sz w:val="32"/>
          <w:szCs w:val="32"/>
        </w:rPr>
        <w:t>通过开展培训代表活动，进一步提高代表工作效率，激发人大代表的履职热情，使代表能及时掌握党的方针政策、国家法律法规及其它方面的知识。</w:t>
      </w:r>
    </w:p>
    <w:p w14:paraId="4926F7A2">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实施主体：</w:t>
      </w:r>
      <w:r>
        <w:rPr>
          <w:rFonts w:hint="eastAsia" w:ascii="仿宋_GB2312" w:hAnsi="仿宋" w:eastAsia="仿宋_GB2312"/>
          <w:sz w:val="32"/>
          <w:szCs w:val="32"/>
          <w:lang w:val="en-US" w:eastAsia="zh-CN"/>
        </w:rPr>
        <w:t>华池县人民代表大会常务委员会办公室、各乡镇人民政府。</w:t>
      </w:r>
    </w:p>
    <w:p w14:paraId="4AB6895E">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实施周期：</w:t>
      </w:r>
      <w:r>
        <w:rPr>
          <w:rFonts w:hint="eastAsia" w:ascii="Times New Roman" w:hAnsi="Times New Roman" w:eastAsia="仿宋_GB2312" w:cs="Times New Roman"/>
          <w:sz w:val="32"/>
          <w:szCs w:val="32"/>
          <w:lang w:val="en-US" w:eastAsia="zh-CN"/>
        </w:rPr>
        <w:t>1</w:t>
      </w:r>
      <w:r>
        <w:rPr>
          <w:rFonts w:hint="eastAsia" w:ascii="仿宋_GB2312" w:hAnsi="仿宋" w:eastAsia="仿宋_GB2312"/>
          <w:sz w:val="32"/>
          <w:szCs w:val="32"/>
          <w:lang w:val="en-US" w:eastAsia="zh-CN"/>
        </w:rPr>
        <w:t>年（</w:t>
      </w:r>
      <w:r>
        <w:rPr>
          <w:rFonts w:hint="eastAsia" w:ascii="Times New Roman" w:hAnsi="Times New Roman" w:eastAsia="仿宋_GB2312" w:cs="Times New Roman"/>
          <w:sz w:val="32"/>
          <w:szCs w:val="32"/>
          <w:lang w:val="en-US" w:eastAsia="zh-CN"/>
        </w:rPr>
        <w:t>2026</w:t>
      </w:r>
      <w:r>
        <w:rPr>
          <w:rFonts w:hint="eastAsia" w:ascii="仿宋_GB2312" w:hAnsi="仿宋" w:eastAsia="仿宋_GB2312"/>
          <w:sz w:val="32"/>
          <w:szCs w:val="32"/>
          <w:lang w:val="en-US" w:eastAsia="zh-CN"/>
        </w:rPr>
        <w:t>年</w:t>
      </w:r>
      <w:r>
        <w:rPr>
          <w:rFonts w:hint="eastAsia" w:ascii="Times New Roman" w:hAnsi="Times New Roman" w:eastAsia="仿宋_GB2312" w:cs="Times New Roman"/>
          <w:sz w:val="32"/>
          <w:szCs w:val="32"/>
          <w:lang w:val="en-US" w:eastAsia="zh-CN"/>
        </w:rPr>
        <w:t>1</w:t>
      </w:r>
      <w:r>
        <w:rPr>
          <w:rFonts w:hint="eastAsia" w:ascii="仿宋_GB2312" w:hAnsi="仿宋" w:eastAsia="仿宋_GB2312"/>
          <w:sz w:val="32"/>
          <w:szCs w:val="32"/>
          <w:lang w:val="en-US" w:eastAsia="zh-CN"/>
        </w:rPr>
        <w:t>月</w:t>
      </w:r>
      <w:r>
        <w:rPr>
          <w:rFonts w:hint="eastAsia" w:ascii="Times New Roman" w:hAnsi="Times New Roman" w:eastAsia="仿宋_GB2312" w:cs="Times New Roman"/>
          <w:sz w:val="32"/>
          <w:szCs w:val="32"/>
          <w:lang w:val="en-US" w:eastAsia="zh-CN"/>
        </w:rPr>
        <w:t>1</w:t>
      </w:r>
      <w:r>
        <w:rPr>
          <w:rFonts w:hint="eastAsia" w:ascii="仿宋_GB2312" w:hAnsi="仿宋" w:eastAsia="仿宋_GB2312"/>
          <w:sz w:val="32"/>
          <w:szCs w:val="32"/>
          <w:lang w:val="en-US" w:eastAsia="zh-CN"/>
        </w:rPr>
        <w:t>日-</w:t>
      </w:r>
      <w:r>
        <w:rPr>
          <w:rFonts w:hint="eastAsia" w:ascii="Times New Roman" w:hAnsi="Times New Roman" w:eastAsia="仿宋_GB2312" w:cs="Times New Roman"/>
          <w:sz w:val="32"/>
          <w:szCs w:val="32"/>
          <w:lang w:val="en-US" w:eastAsia="zh-CN"/>
        </w:rPr>
        <w:t>2026</w:t>
      </w:r>
      <w:r>
        <w:rPr>
          <w:rFonts w:hint="eastAsia" w:ascii="仿宋_GB2312" w:hAnsi="仿宋" w:eastAsia="仿宋_GB2312"/>
          <w:sz w:val="32"/>
          <w:szCs w:val="32"/>
          <w:lang w:val="en-US" w:eastAsia="zh-CN"/>
        </w:rPr>
        <w:t>年</w:t>
      </w:r>
      <w:r>
        <w:rPr>
          <w:rFonts w:hint="eastAsia" w:ascii="Times New Roman" w:hAnsi="Times New Roman" w:eastAsia="仿宋_GB2312" w:cs="Times New Roman"/>
          <w:sz w:val="32"/>
          <w:szCs w:val="32"/>
          <w:lang w:val="en-US" w:eastAsia="zh-CN"/>
        </w:rPr>
        <w:t>12月31</w:t>
      </w:r>
      <w:r>
        <w:rPr>
          <w:rFonts w:hint="eastAsia" w:ascii="仿宋_GB2312" w:hAnsi="仿宋" w:eastAsia="仿宋_GB2312"/>
          <w:sz w:val="32"/>
          <w:szCs w:val="32"/>
          <w:lang w:val="en-US" w:eastAsia="zh-CN"/>
        </w:rPr>
        <w:t>日）</w:t>
      </w:r>
    </w:p>
    <w:p w14:paraId="75155F7A">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实施计划：</w:t>
      </w:r>
      <w:r>
        <w:rPr>
          <w:rFonts w:hint="eastAsia" w:ascii="Times New Roman" w:hAnsi="Times New Roman" w:eastAsia="仿宋_GB2312" w:cs="Times New Roman"/>
          <w:sz w:val="32"/>
          <w:szCs w:val="32"/>
          <w:lang w:val="en-US" w:eastAsia="zh-CN"/>
        </w:rPr>
        <w:t>2026</w:t>
      </w:r>
      <w:r>
        <w:rPr>
          <w:rFonts w:hint="eastAsia" w:ascii="仿宋_GB2312" w:hAnsi="仿宋" w:eastAsia="仿宋_GB2312"/>
          <w:sz w:val="32"/>
          <w:szCs w:val="32"/>
          <w:lang w:val="en-US" w:eastAsia="zh-CN"/>
        </w:rPr>
        <w:t>年举办县级人大代表及人大干部履职能力提升培训班，计划在</w:t>
      </w:r>
      <w:r>
        <w:rPr>
          <w:rFonts w:hint="eastAsia" w:ascii="Times New Roman" w:hAnsi="Times New Roman" w:eastAsia="仿宋_GB2312" w:cs="Times New Roman"/>
          <w:sz w:val="32"/>
          <w:szCs w:val="32"/>
          <w:lang w:val="en-US" w:eastAsia="zh-CN"/>
        </w:rPr>
        <w:t>5</w:t>
      </w:r>
      <w:r>
        <w:rPr>
          <w:rFonts w:hint="eastAsia" w:ascii="仿宋_GB2312" w:hAnsi="仿宋" w:eastAsia="仿宋_GB2312"/>
          <w:sz w:val="32"/>
          <w:szCs w:val="32"/>
          <w:lang w:val="en-US" w:eastAsia="zh-CN"/>
        </w:rPr>
        <w:t>月份开展；各乡（镇）人民政府根据年度工作安排举办乡级人大代表履职能力提升培训。</w:t>
      </w:r>
    </w:p>
    <w:p w14:paraId="7B870A66">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6</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年度预算安排：</w:t>
      </w:r>
      <w:r>
        <w:rPr>
          <w:rFonts w:hint="eastAsia" w:ascii="仿宋_GB2312" w:hAnsi="仿宋" w:eastAsia="仿宋_GB2312"/>
          <w:sz w:val="32"/>
          <w:szCs w:val="32"/>
          <w:lang w:val="en-US" w:eastAsia="zh-CN"/>
        </w:rPr>
        <w:t>资金总预算</w:t>
      </w:r>
      <w:r>
        <w:rPr>
          <w:rFonts w:hint="eastAsia" w:ascii="Times New Roman" w:hAnsi="Times New Roman" w:eastAsia="仿宋_GB2312" w:cs="Times New Roman"/>
          <w:sz w:val="32"/>
          <w:szCs w:val="32"/>
          <w:lang w:val="en-US" w:eastAsia="zh-CN"/>
        </w:rPr>
        <w:t>81.6</w:t>
      </w:r>
      <w:r>
        <w:rPr>
          <w:rFonts w:hint="eastAsia" w:ascii="仿宋_GB2312" w:hAnsi="仿宋" w:eastAsia="仿宋_GB2312"/>
          <w:sz w:val="32"/>
          <w:szCs w:val="32"/>
          <w:lang w:val="en-US" w:eastAsia="zh-CN"/>
        </w:rPr>
        <w:t>万元，其中县级人大代表活动</w:t>
      </w:r>
      <w:r>
        <w:rPr>
          <w:rFonts w:hint="default" w:ascii="Times New Roman" w:hAnsi="Times New Roman" w:eastAsia="仿宋_GB2312" w:cs="Times New Roman"/>
          <w:sz w:val="32"/>
          <w:szCs w:val="32"/>
          <w:lang w:val="en-US" w:eastAsia="zh-CN"/>
        </w:rPr>
        <w:t>经费20.16万元，乡级人大代表活动经费61.44万元。</w:t>
      </w:r>
    </w:p>
    <w:p w14:paraId="472FB6D7">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预期总体目标：</w:t>
      </w:r>
      <w:r>
        <w:rPr>
          <w:rFonts w:hint="eastAsia" w:ascii="仿宋_GB2312" w:hAnsi="仿宋" w:eastAsia="仿宋_GB2312"/>
          <w:sz w:val="32"/>
          <w:szCs w:val="32"/>
        </w:rPr>
        <w:t>针对人大代表履职过程中遇到的新情况，开展县、乡</w:t>
      </w:r>
      <w:r>
        <w:rPr>
          <w:rFonts w:hint="eastAsia" w:ascii="仿宋_GB2312" w:hAnsi="仿宋" w:eastAsia="仿宋_GB2312"/>
          <w:sz w:val="32"/>
          <w:szCs w:val="32"/>
          <w:lang w:eastAsia="zh-CN"/>
        </w:rPr>
        <w:t>（</w:t>
      </w:r>
      <w:r>
        <w:rPr>
          <w:rFonts w:hint="eastAsia" w:ascii="仿宋_GB2312" w:hAnsi="仿宋" w:eastAsia="仿宋_GB2312"/>
          <w:sz w:val="32"/>
          <w:szCs w:val="32"/>
        </w:rPr>
        <w:t>镇</w:t>
      </w:r>
      <w:r>
        <w:rPr>
          <w:rFonts w:hint="eastAsia" w:ascii="仿宋_GB2312" w:hAnsi="仿宋" w:eastAsia="仿宋_GB2312"/>
          <w:sz w:val="32"/>
          <w:szCs w:val="32"/>
          <w:lang w:eastAsia="zh-CN"/>
        </w:rPr>
        <w:t>）</w:t>
      </w:r>
      <w:r>
        <w:rPr>
          <w:rFonts w:hint="eastAsia" w:ascii="仿宋_GB2312" w:hAnsi="仿宋" w:eastAsia="仿宋_GB2312"/>
          <w:sz w:val="32"/>
          <w:szCs w:val="32"/>
        </w:rPr>
        <w:t>人大代表的人大法律法规知识及人大代表如何计提和办理议案、建议等代表履职能力培训班，使代表能积极参与本县经济社会发展和政治文明、精神文明建设，及时了解群众的思想动态，及时反映群众的呼声，切实提高代表的依法履职能力。</w:t>
      </w:r>
    </w:p>
    <w:p w14:paraId="51BD7EBF">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（四）部门管理转移支付情况</w:t>
      </w:r>
    </w:p>
    <w:p w14:paraId="6297910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未安排预算，部门管理转移支付表为空表。</w:t>
      </w:r>
    </w:p>
    <w:p w14:paraId="57061121">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2445C9E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w:t>
      </w:r>
      <w:r>
        <w:rPr>
          <w:rFonts w:hint="default" w:ascii="Times New Roman" w:hAnsi="Times New Roman" w:eastAsia="楷体_GB2312" w:cs="Times New Roman"/>
          <w:b/>
          <w:bCs/>
          <w:kern w:val="0"/>
          <w:sz w:val="32"/>
          <w:szCs w:val="32"/>
          <w:lang w:eastAsia="zh-CN"/>
        </w:rPr>
        <w:t>202</w:t>
      </w:r>
      <w:r>
        <w:rPr>
          <w:rFonts w:hint="default" w:ascii="Times New Roman" w:hAnsi="Times New Roman" w:eastAsia="楷体_GB2312" w:cs="Times New Roman"/>
          <w:b/>
          <w:bCs/>
          <w:kern w:val="0"/>
          <w:sz w:val="32"/>
          <w:szCs w:val="32"/>
          <w:lang w:val="en-US" w:eastAsia="zh-CN"/>
        </w:rPr>
        <w:t>5</w:t>
      </w:r>
      <w:r>
        <w:rPr>
          <w:rFonts w:hint="default" w:ascii="Times New Roman" w:hAnsi="Times New Roman" w:eastAsia="楷体_GB2312" w:cs="Times New Roman"/>
          <w:b/>
          <w:bCs/>
          <w:kern w:val="0"/>
          <w:sz w:val="32"/>
          <w:szCs w:val="32"/>
        </w:rPr>
        <w:t>年预算绩效管理工作情况。</w:t>
      </w:r>
    </w:p>
    <w:p w14:paraId="5B5CCF1F">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1.绩效目标管理情况。</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年度，按照“谁申请资金，谁设置目标”的原则，纳入部门预算管理的</w:t>
      </w:r>
      <w:r>
        <w:rPr>
          <w:rFonts w:hint="default" w:ascii="Times New Roman" w:hAnsi="Times New Roman" w:eastAsia="仿宋_GB2312" w:cs="Times New Roman"/>
          <w:color w:val="000000"/>
          <w:sz w:val="32"/>
          <w:szCs w:val="32"/>
        </w:rPr>
        <w:t>部门</w:t>
      </w:r>
      <w:r>
        <w:rPr>
          <w:rFonts w:hint="default" w:ascii="Times New Roman" w:hAnsi="Times New Roman" w:eastAsia="仿宋_GB2312" w:cs="Times New Roman"/>
          <w:sz w:val="32"/>
          <w:szCs w:val="32"/>
        </w:rPr>
        <w:t>整体支出和项目绩效目标</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个，按规定随年度预算一并公开项目</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个，公开率为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14:paraId="553FED8D">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jc w:val="left"/>
        <w:textAlignment w:val="auto"/>
        <w:rPr>
          <w:rFonts w:ascii="仿宋_GB2312" w:hAnsi="仿宋" w:eastAsia="仿宋_GB2312"/>
          <w:sz w:val="32"/>
          <w:szCs w:val="32"/>
        </w:rPr>
      </w:pPr>
      <w:r>
        <w:rPr>
          <w:rFonts w:hint="default" w:ascii="Times New Roman" w:hAnsi="Times New Roman" w:eastAsia="仿宋_GB2312" w:cs="Times New Roman"/>
          <w:b/>
          <w:sz w:val="32"/>
          <w:szCs w:val="32"/>
        </w:rPr>
        <w:t>2.绩效运行监控情况。</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月，组织开展</w:t>
      </w: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月绩效运行监控项目</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个，占本</w:t>
      </w:r>
      <w:r>
        <w:rPr>
          <w:rFonts w:hint="default" w:ascii="Times New Roman" w:hAnsi="Times New Roman" w:eastAsia="仿宋_GB2312" w:cs="Times New Roman"/>
          <w:color w:val="000000"/>
          <w:sz w:val="32"/>
          <w:szCs w:val="32"/>
        </w:rPr>
        <w:t>部门</w:t>
      </w:r>
      <w:r>
        <w:rPr>
          <w:rFonts w:hint="default" w:ascii="Times New Roman" w:hAnsi="Times New Roman" w:eastAsia="仿宋_GB2312" w:cs="Times New Roman"/>
          <w:sz w:val="32"/>
          <w:szCs w:val="32"/>
        </w:rPr>
        <w:t>项目的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%。截至</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月底，如期完成预算执行和绩效目标指标值的项目</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eastAsia" w:ascii="Times New Roman" w:hAnsi="Times New Roman" w:eastAsia="仿宋_GB2312" w:cs="Times New Roman"/>
          <w:sz w:val="32"/>
          <w:szCs w:val="32"/>
          <w:lang w:val="en-US" w:eastAsia="zh-CN"/>
        </w:rPr>
        <w:t>32.42</w:t>
      </w:r>
      <w:r>
        <w:rPr>
          <w:rFonts w:hint="default" w:ascii="Times New Roman" w:hAnsi="Times New Roman" w:eastAsia="仿宋_GB2312" w:cs="Times New Roman"/>
          <w:sz w:val="32"/>
          <w:szCs w:val="32"/>
        </w:rPr>
        <w:t>%。“双监控”发现存在的问题和主要原因是：</w:t>
      </w:r>
      <w:r>
        <w:rPr>
          <w:rFonts w:hint="eastAsia" w:ascii="仿宋_GB2312" w:hAnsi="仿宋" w:eastAsia="仿宋_GB2312"/>
          <w:sz w:val="32"/>
          <w:szCs w:val="32"/>
        </w:rPr>
        <w:t>项目支出财政资金指标拨付进度缓慢。由于财政未进行拨款，</w:t>
      </w:r>
      <w:r>
        <w:rPr>
          <w:rFonts w:hint="eastAsia" w:ascii="仿宋_GB2312" w:hAnsi="仿宋" w:eastAsia="仿宋_GB2312"/>
          <w:sz w:val="32"/>
          <w:szCs w:val="32"/>
          <w:lang w:val="en-US" w:eastAsia="zh-CN"/>
        </w:rPr>
        <w:t>项目支出</w:t>
      </w:r>
      <w:r>
        <w:rPr>
          <w:rFonts w:hint="eastAsia" w:ascii="仿宋_GB2312" w:hAnsi="仿宋" w:eastAsia="仿宋_GB2312"/>
          <w:sz w:val="32"/>
          <w:szCs w:val="32"/>
        </w:rPr>
        <w:t>资金暂未支付</w:t>
      </w:r>
      <w:r>
        <w:rPr>
          <w:rFonts w:hint="default" w:ascii="Times New Roman" w:hAnsi="Times New Roman" w:eastAsia="仿宋_GB2312" w:cs="Times New Roman"/>
          <w:sz w:val="32"/>
          <w:szCs w:val="32"/>
        </w:rPr>
        <w:t>。开展</w:t>
      </w:r>
      <w:r>
        <w:rPr>
          <w:rFonts w:hint="eastAsia" w:ascii="Times New Roman" w:hAnsi="Times New Roman" w:eastAsia="仿宋_GB2312" w:cs="Times New Roman"/>
          <w:sz w:val="32"/>
          <w:szCs w:val="32"/>
          <w:lang w:val="en-US" w:eastAsia="zh-CN"/>
        </w:rPr>
        <w:t>1-9</w:t>
      </w:r>
      <w:r>
        <w:rPr>
          <w:rFonts w:hint="default" w:ascii="Times New Roman" w:hAnsi="Times New Roman" w:eastAsia="仿宋_GB2312" w:cs="Times New Roman"/>
          <w:sz w:val="32"/>
          <w:szCs w:val="32"/>
        </w:rPr>
        <w:t>月绩效运行监控项目</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个，占本部门项目的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%。截至10月底，如期完成预算执行和绩效目标指标值的项目</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eastAsia" w:ascii="Times New Roman" w:hAnsi="Times New Roman" w:eastAsia="仿宋_GB2312" w:cs="Times New Roman"/>
          <w:sz w:val="32"/>
          <w:szCs w:val="32"/>
          <w:lang w:val="en-US" w:eastAsia="zh-CN"/>
        </w:rPr>
        <w:t>80.73</w:t>
      </w:r>
      <w:r>
        <w:rPr>
          <w:rFonts w:hint="default" w:ascii="Times New Roman" w:hAnsi="Times New Roman" w:eastAsia="仿宋_GB2312" w:cs="Times New Roman"/>
          <w:sz w:val="32"/>
          <w:szCs w:val="32"/>
        </w:rPr>
        <w:t>%。“双监控”发现存在的问题和主要原因是：</w:t>
      </w:r>
      <w:r>
        <w:rPr>
          <w:rFonts w:hint="eastAsia" w:ascii="仿宋_GB2312" w:hAnsi="仿宋" w:eastAsia="仿宋_GB2312"/>
          <w:sz w:val="32"/>
          <w:szCs w:val="32"/>
        </w:rPr>
        <w:t>项目支出财政资金指标拨付进度缓慢。由于财政</w:t>
      </w:r>
      <w:r>
        <w:rPr>
          <w:rFonts w:hint="eastAsia" w:ascii="仿宋_GB2312" w:hAnsi="仿宋" w:eastAsia="仿宋_GB2312"/>
          <w:sz w:val="32"/>
          <w:szCs w:val="32"/>
          <w:lang w:val="en-US" w:eastAsia="zh-CN"/>
        </w:rPr>
        <w:t>部分指标</w:t>
      </w:r>
      <w:r>
        <w:rPr>
          <w:rFonts w:hint="eastAsia" w:ascii="仿宋_GB2312" w:hAnsi="仿宋" w:eastAsia="仿宋_GB2312"/>
          <w:sz w:val="32"/>
          <w:szCs w:val="32"/>
        </w:rPr>
        <w:t>未</w:t>
      </w:r>
      <w:r>
        <w:rPr>
          <w:rFonts w:hint="eastAsia" w:ascii="仿宋_GB2312" w:hAnsi="仿宋" w:eastAsia="仿宋_GB2312"/>
          <w:sz w:val="32"/>
          <w:szCs w:val="32"/>
          <w:lang w:val="en-US" w:eastAsia="zh-CN"/>
        </w:rPr>
        <w:t>下达</w:t>
      </w:r>
      <w:r>
        <w:rPr>
          <w:rFonts w:hint="eastAsia" w:ascii="仿宋_GB2312" w:hAnsi="仿宋" w:eastAsia="仿宋_GB2312"/>
          <w:sz w:val="32"/>
          <w:szCs w:val="32"/>
        </w:rPr>
        <w:t>，</w:t>
      </w:r>
      <w:r>
        <w:rPr>
          <w:rFonts w:hint="eastAsia" w:ascii="仿宋_GB2312" w:hAnsi="仿宋" w:eastAsia="仿宋_GB2312"/>
          <w:sz w:val="32"/>
          <w:szCs w:val="32"/>
          <w:lang w:val="en-US" w:eastAsia="zh-CN"/>
        </w:rPr>
        <w:t>部分</w:t>
      </w:r>
      <w:r>
        <w:rPr>
          <w:rFonts w:hint="eastAsia" w:ascii="仿宋_GB2312" w:hAnsi="仿宋" w:eastAsia="仿宋_GB2312"/>
          <w:sz w:val="32"/>
          <w:szCs w:val="32"/>
        </w:rPr>
        <w:t>项目支出资金暂未支付</w:t>
      </w:r>
      <w:r>
        <w:rPr>
          <w:rFonts w:hint="default" w:ascii="Times New Roman" w:hAnsi="Times New Roman" w:eastAsia="仿宋_GB2312" w:cs="Times New Roman"/>
          <w:sz w:val="32"/>
          <w:szCs w:val="32"/>
        </w:rPr>
        <w:t>。绩效运行监控在部门内部通报整改情况：</w:t>
      </w:r>
      <w:r>
        <w:rPr>
          <w:rFonts w:hint="eastAsia" w:ascii="Times New Roman" w:hAnsi="Times New Roman" w:eastAsia="仿宋_GB2312" w:cs="Times New Roman"/>
          <w:sz w:val="32"/>
          <w:szCs w:val="32"/>
          <w:lang w:val="en-US" w:eastAsia="zh-CN"/>
        </w:rPr>
        <w:t>1</w:t>
      </w:r>
      <w:r>
        <w:rPr>
          <w:rFonts w:hint="eastAsia" w:ascii="仿宋_GB2312" w:hAnsi="仿宋" w:eastAsia="仿宋_GB2312"/>
          <w:sz w:val="32"/>
          <w:szCs w:val="32"/>
          <w:lang w:val="en-US" w:eastAsia="zh-CN"/>
        </w:rPr>
        <w:t>.</w:t>
      </w:r>
      <w:r>
        <w:rPr>
          <w:rFonts w:hint="eastAsia" w:ascii="仿宋_GB2312" w:hAnsi="仿宋" w:eastAsia="仿宋_GB2312"/>
          <w:sz w:val="32"/>
          <w:szCs w:val="32"/>
        </w:rPr>
        <w:t>加大项目督导力度。督促项目实施单位，制定项目时间计划表，加强调度督导，进一步压实工作责任，加快项目进度。</w:t>
      </w:r>
      <w:r>
        <w:rPr>
          <w:rFonts w:hint="eastAsia" w:ascii="Times New Roman" w:hAnsi="Times New Roman" w:eastAsia="仿宋_GB2312" w:cs="Times New Roman"/>
          <w:sz w:val="32"/>
          <w:szCs w:val="32"/>
          <w:lang w:val="en-US" w:eastAsia="zh-CN"/>
        </w:rPr>
        <w:t>2</w:t>
      </w:r>
      <w:r>
        <w:rPr>
          <w:rFonts w:hint="eastAsia" w:ascii="仿宋_GB2312" w:hAnsi="仿宋" w:eastAsia="仿宋_GB2312"/>
          <w:sz w:val="32"/>
          <w:szCs w:val="32"/>
          <w:lang w:val="en-US" w:eastAsia="zh-CN"/>
        </w:rPr>
        <w:t>.</w:t>
      </w:r>
      <w:r>
        <w:rPr>
          <w:rFonts w:hint="eastAsia" w:ascii="仿宋_GB2312" w:hAnsi="仿宋" w:eastAsia="仿宋_GB2312"/>
          <w:sz w:val="32"/>
          <w:szCs w:val="32"/>
        </w:rPr>
        <w:t>及时拨付财政资金指标。建议财政按年初预算项目及时拨付各单位项目资金，加快资金拨付审核进度，促使各项工作有序开展。</w:t>
      </w:r>
      <w:r>
        <w:rPr>
          <w:rFonts w:hint="eastAsia" w:ascii="Times New Roman" w:hAnsi="Times New Roman" w:eastAsia="仿宋_GB2312" w:cs="Times New Roman"/>
          <w:sz w:val="32"/>
          <w:szCs w:val="32"/>
          <w:lang w:val="en-US" w:eastAsia="zh-CN"/>
        </w:rPr>
        <w:t>3</w:t>
      </w:r>
      <w:r>
        <w:rPr>
          <w:rFonts w:hint="eastAsia" w:ascii="仿宋_GB2312" w:hAnsi="仿宋" w:eastAsia="仿宋_GB2312"/>
          <w:sz w:val="32"/>
          <w:szCs w:val="32"/>
          <w:lang w:val="en-US" w:eastAsia="zh-CN"/>
        </w:rPr>
        <w:t>.</w:t>
      </w:r>
      <w:r>
        <w:rPr>
          <w:rFonts w:hint="eastAsia" w:ascii="仿宋_GB2312" w:hAnsi="仿宋" w:eastAsia="仿宋_GB2312"/>
          <w:sz w:val="32"/>
          <w:szCs w:val="32"/>
        </w:rPr>
        <w:t>加强绩效运行监控管理制度和流程建设，进一步深化、完善绩效管理体系，建立全过程的预算绩效管理机制，促进绩效管理工作向广度和深度延伸。</w:t>
      </w:r>
      <w:r>
        <w:rPr>
          <w:rFonts w:hint="eastAsia" w:ascii="Times New Roman" w:hAnsi="Times New Roman" w:eastAsia="仿宋_GB2312" w:cs="Times New Roman"/>
          <w:sz w:val="32"/>
          <w:szCs w:val="32"/>
          <w:lang w:val="en-US" w:eastAsia="zh-CN"/>
        </w:rPr>
        <w:t>4</w:t>
      </w:r>
      <w:r>
        <w:rPr>
          <w:rFonts w:hint="eastAsia" w:ascii="仿宋_GB2312" w:hAnsi="仿宋" w:eastAsia="仿宋_GB2312"/>
          <w:sz w:val="32"/>
          <w:szCs w:val="32"/>
          <w:lang w:val="en-US" w:eastAsia="zh-CN"/>
        </w:rPr>
        <w:t>.</w:t>
      </w:r>
      <w:r>
        <w:rPr>
          <w:rFonts w:hint="eastAsia" w:ascii="仿宋_GB2312" w:hAnsi="仿宋" w:eastAsia="仿宋_GB2312"/>
          <w:sz w:val="32"/>
          <w:szCs w:val="32"/>
        </w:rPr>
        <w:t>规范绩效运行监控资料的收集整理，确保相关信息完整、可靠，客观公正地反映项目资金实际使用和产生的绩效状况，为今后该项目实施方向及管理方式的改进提供指导。</w:t>
      </w:r>
    </w:p>
    <w:p w14:paraId="37F7AD57">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jc w:val="left"/>
        <w:textAlignment w:val="auto"/>
        <w:rPr>
          <w:rFonts w:ascii="仿宋_GB2312" w:hAnsi="仿宋" w:eastAsia="仿宋_GB2312"/>
          <w:sz w:val="32"/>
          <w:szCs w:val="32"/>
        </w:rPr>
      </w:pPr>
      <w:r>
        <w:rPr>
          <w:rFonts w:hint="default" w:ascii="Times New Roman" w:hAnsi="Times New Roman" w:eastAsia="仿宋_GB2312" w:cs="Times New Roman"/>
          <w:b/>
          <w:sz w:val="32"/>
          <w:szCs w:val="32"/>
        </w:rPr>
        <w:t>3.绩效自评开展情况。</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年度，组织开展绩效自评项目共</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个，其中，部门整体支出</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个，项目支出</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个，转移支付项目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个，绩效自评覆盖率为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%。绩效自评结果随部门决算报送财政和随决算公开情况：</w:t>
      </w:r>
      <w:r>
        <w:rPr>
          <w:rFonts w:hint="eastAsia" w:ascii="仿宋_GB2312" w:hAnsi="仿宋" w:eastAsia="仿宋_GB2312"/>
          <w:sz w:val="32"/>
          <w:szCs w:val="32"/>
        </w:rPr>
        <w:t>为进一步规范财政支出管理，牢固树立预算绩效理念，强化支出责任，提高财政资金使用效益，根据县财政局的安排，我们遵循“科学性、规范性、客观性和公正性”的原则,对我单位</w:t>
      </w:r>
      <w:r>
        <w:rPr>
          <w:rFonts w:hint="eastAsia" w:ascii="Times New Roman" w:hAnsi="Times New Roman" w:eastAsia="仿宋_GB2312" w:cs="Times New Roman"/>
          <w:sz w:val="32"/>
          <w:szCs w:val="32"/>
          <w:lang w:val="en-US" w:eastAsia="zh-CN"/>
        </w:rPr>
        <w:t>2025</w:t>
      </w:r>
      <w:r>
        <w:rPr>
          <w:rFonts w:hint="eastAsia" w:ascii="仿宋_GB2312" w:hAnsi="仿宋" w:eastAsia="仿宋_GB2312"/>
          <w:sz w:val="32"/>
          <w:szCs w:val="32"/>
        </w:rPr>
        <w:t>年度的整体支出情况进行了绩效评价</w:t>
      </w:r>
      <w:r>
        <w:rPr>
          <w:rFonts w:hint="eastAsia" w:ascii="仿宋_GB2312" w:hAnsi="仿宋" w:eastAsia="仿宋_GB2312"/>
          <w:sz w:val="32"/>
          <w:szCs w:val="32"/>
          <w:lang w:val="en-US" w:eastAsia="zh-CN"/>
        </w:rPr>
        <w:t>，已将</w:t>
      </w:r>
      <w:r>
        <w:rPr>
          <w:rFonts w:hint="eastAsia" w:ascii="仿宋_GB2312" w:hAnsi="仿宋" w:eastAsia="仿宋_GB2312"/>
          <w:sz w:val="32"/>
          <w:szCs w:val="32"/>
        </w:rPr>
        <w:t>绩效自评结果随部门决算报送财政</w:t>
      </w:r>
      <w:r>
        <w:rPr>
          <w:rFonts w:hint="eastAsia" w:ascii="仿宋_GB2312" w:hAnsi="仿宋" w:eastAsia="仿宋_GB2312"/>
          <w:sz w:val="32"/>
          <w:szCs w:val="32"/>
          <w:lang w:val="en-US" w:eastAsia="zh-CN"/>
        </w:rPr>
        <w:t>并</w:t>
      </w:r>
      <w:r>
        <w:rPr>
          <w:rFonts w:hint="eastAsia" w:ascii="仿宋_GB2312" w:hAnsi="仿宋" w:eastAsia="仿宋_GB2312"/>
          <w:sz w:val="32"/>
          <w:szCs w:val="32"/>
        </w:rPr>
        <w:t>随决算公开。</w:t>
      </w:r>
    </w:p>
    <w:p w14:paraId="1B5CB531">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4.绩效结果应用情况。</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年度绩效运行监控、绩效自评等情况，当年盘活财政资金</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年度增加（减少）部门预算项目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个，增长率/压减率</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%。同时对政策和项目资金管理作出调整的</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 xml:space="preserve">  个。</w:t>
      </w:r>
    </w:p>
    <w:p w14:paraId="7067FDF0">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w:t>
      </w:r>
      <w:r>
        <w:rPr>
          <w:rFonts w:hint="default" w:ascii="Times New Roman" w:hAnsi="Times New Roman" w:eastAsia="楷体_GB2312" w:cs="Times New Roman"/>
          <w:b/>
          <w:bCs/>
          <w:kern w:val="0"/>
          <w:sz w:val="32"/>
          <w:szCs w:val="32"/>
          <w:lang w:eastAsia="zh-CN"/>
        </w:rPr>
        <w:t>202</w:t>
      </w:r>
      <w:r>
        <w:rPr>
          <w:rFonts w:hint="default" w:ascii="Times New Roman" w:hAnsi="Times New Roman" w:eastAsia="楷体_GB2312" w:cs="Times New Roman"/>
          <w:b/>
          <w:bCs/>
          <w:kern w:val="0"/>
          <w:sz w:val="32"/>
          <w:szCs w:val="32"/>
          <w:lang w:val="en-US" w:eastAsia="zh-CN"/>
        </w:rPr>
        <w:t>6</w:t>
      </w:r>
      <w:r>
        <w:rPr>
          <w:rFonts w:hint="default" w:ascii="Times New Roman" w:hAnsi="Times New Roman" w:eastAsia="楷体_GB2312" w:cs="Times New Roman"/>
          <w:b/>
          <w:bCs/>
          <w:kern w:val="0"/>
          <w:sz w:val="32"/>
          <w:szCs w:val="32"/>
        </w:rPr>
        <w:t>年绩效目标编制情况</w:t>
      </w:r>
    </w:p>
    <w:p w14:paraId="5ED3C40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年，纳入部门预算绩效目标管理的项目</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个。其中，部门整体支出绩效目标围绕部门管理、履职效果、能力建设三个维度，设置二级指标</w:t>
      </w: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个；项目支出绩效目标围绕成本指标、产出指标、效益指标、满意度指标四个维度，设置二级指标</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个。各项绩效目标内容指向明确、细化量化、合理可行，符合规定的格式要求。</w:t>
      </w:r>
    </w:p>
    <w:p w14:paraId="1B6BE29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黑体" w:cs="Times New Roman"/>
          <w:b w:val="0"/>
          <w:bCs w:val="0"/>
          <w:kern w:val="0"/>
          <w:sz w:val="32"/>
          <w:szCs w:val="32"/>
        </w:rPr>
      </w:pPr>
      <w:r>
        <w:rPr>
          <w:rFonts w:hint="default" w:ascii="Times New Roman" w:hAnsi="Times New Roman" w:eastAsia="黑体" w:cs="Times New Roman"/>
          <w:b w:val="0"/>
          <w:bCs w:val="0"/>
          <w:kern w:val="0"/>
          <w:sz w:val="32"/>
          <w:szCs w:val="32"/>
        </w:rPr>
        <w:t>十一、名词解释</w:t>
      </w:r>
    </w:p>
    <w:p w14:paraId="22A27A8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1</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财政拨款:</w:t>
      </w:r>
      <w:r>
        <w:rPr>
          <w:rFonts w:hint="default" w:ascii="Times New Roman" w:hAnsi="Times New Roman" w:eastAsia="仿宋_GB2312" w:cs="Times New Roman"/>
          <w:color w:val="000000"/>
          <w:sz w:val="32"/>
          <w:szCs w:val="32"/>
        </w:rPr>
        <w:t>指由一般公共预算、政府性基金预算、国有资本经营预算安排的财政拨款数。</w:t>
      </w:r>
    </w:p>
    <w:p w14:paraId="4CC6C57A">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2</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一般公共预算:</w:t>
      </w:r>
      <w:r>
        <w:rPr>
          <w:rFonts w:hint="default" w:ascii="Times New Roman" w:hAnsi="Times New Roman" w:eastAsia="仿宋_GB2312" w:cs="Times New Roman"/>
          <w:color w:val="000000"/>
          <w:sz w:val="32"/>
          <w:szCs w:val="32"/>
        </w:rPr>
        <w:t>包括公共财政拨款（补助）资金、专项收入。</w:t>
      </w:r>
    </w:p>
    <w:p w14:paraId="7908A71B">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3</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财政专户管理资金:</w:t>
      </w:r>
      <w:r>
        <w:rPr>
          <w:rFonts w:hint="default" w:ascii="Times New Roman" w:hAnsi="Times New Roman" w:eastAsia="仿宋_GB2312" w:cs="Times New Roman"/>
          <w:color w:val="000000"/>
          <w:sz w:val="32"/>
          <w:szCs w:val="32"/>
        </w:rPr>
        <w:t>包括专户管理行政事业性收费（主要是教育收费）、其他非税收入。</w:t>
      </w:r>
    </w:p>
    <w:p w14:paraId="4CE172D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4</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其他资金:</w:t>
      </w:r>
      <w:r>
        <w:rPr>
          <w:rFonts w:hint="default" w:ascii="Times New Roman" w:hAnsi="Times New Roman" w:eastAsia="仿宋_GB2312" w:cs="Times New Roman"/>
          <w:color w:val="000000"/>
          <w:sz w:val="32"/>
          <w:szCs w:val="32"/>
        </w:rPr>
        <w:t>包括事业收入、事业经营收入、其他收入等。</w:t>
      </w:r>
    </w:p>
    <w:p w14:paraId="6D5803A7">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基本支出:</w:t>
      </w:r>
      <w:r>
        <w:rPr>
          <w:rFonts w:hint="default" w:ascii="Times New Roman" w:hAnsi="Times New Roman" w:eastAsia="仿宋_GB2312" w:cs="Times New Roman"/>
          <w:color w:val="000000"/>
          <w:sz w:val="32"/>
          <w:szCs w:val="32"/>
        </w:rPr>
        <w:t>包括人员经费、公用经费（定额）。其中，人员经费包括工资福利支出、对个人和家庭的补助。</w:t>
      </w:r>
    </w:p>
    <w:p w14:paraId="696C919E">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6</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项目支出:</w:t>
      </w:r>
      <w:r>
        <w:rPr>
          <w:rFonts w:hint="default" w:ascii="Times New Roman" w:hAnsi="Times New Roman" w:eastAsia="仿宋_GB2312" w:cs="Times New Roman"/>
          <w:color w:val="000000"/>
          <w:sz w:val="32"/>
          <w:szCs w:val="32"/>
        </w:rPr>
        <w:t>部门支出预算的组成部分，是各部门为完成其特定的行政任务或事业发展目标，在基本支出预算之外编制的年度项目支出计划。</w:t>
      </w:r>
    </w:p>
    <w:p w14:paraId="3E4D9AA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7</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“三公”经费:</w:t>
      </w:r>
      <w:r>
        <w:rPr>
          <w:rFonts w:hint="default" w:ascii="Times New Roman" w:hAnsi="Times New Roman" w:eastAsia="仿宋_GB2312" w:cs="Times New Roman"/>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18C50624">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textAlignment w:val="auto"/>
        <w:rPr>
          <w:rFonts w:hint="eastAsia" w:ascii="仿宋_GB2312" w:hAnsi="CIDFont+F6" w:eastAsia="仿宋_GB2312"/>
          <w:color w:val="000000"/>
          <w:sz w:val="32"/>
          <w:szCs w:val="32"/>
        </w:rPr>
      </w:pPr>
      <w:r>
        <w:rPr>
          <w:rFonts w:hint="default" w:ascii="Times New Roman" w:hAnsi="Times New Roman" w:eastAsia="仿宋_GB2312" w:cs="Times New Roman"/>
          <w:b/>
          <w:color w:val="000000"/>
          <w:sz w:val="32"/>
          <w:szCs w:val="32"/>
        </w:rPr>
        <w:t>8</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机关运行经费:</w:t>
      </w:r>
      <w:r>
        <w:rPr>
          <w:rFonts w:hint="default" w:ascii="Times New Roman" w:hAnsi="Times New Roman" w:eastAsia="仿宋_GB2312" w:cs="Times New Roman"/>
          <w:color w:val="000000"/>
          <w:sz w:val="32"/>
          <w:szCs w:val="32"/>
        </w:rPr>
        <w:t>为保障行政单位（包括实行公务员管理的事业单位）运行用于购买货物和服务</w:t>
      </w:r>
      <w:r>
        <w:rPr>
          <w:rFonts w:hint="eastAsia" w:ascii="仿宋_GB2312" w:hAnsi="CIDFont+F6" w:eastAsia="仿宋_GB2312"/>
          <w:color w:val="000000"/>
          <w:sz w:val="32"/>
          <w:szCs w:val="32"/>
        </w:rPr>
        <w:t>的各项资金，包括办公及印刷费、邮电费、差旅费、会议费、福利费、日常维修费、一般设备购置费、办公用房水电费、办公用房取暖费、办公用房物业管理费、公务用车运行维护费以及其他费用。</w:t>
      </w:r>
    </w:p>
    <w:p w14:paraId="453FCEBD">
      <w:pPr>
        <w:keepNext w:val="0"/>
        <w:keepLines w:val="0"/>
        <w:pageBreakBefore w:val="0"/>
        <w:widowControl w:val="0"/>
        <w:kinsoku/>
        <w:overflowPunct/>
        <w:topLinePunct w:val="0"/>
        <w:autoSpaceDE/>
        <w:autoSpaceDN/>
        <w:bidi w:val="0"/>
        <w:adjustRightInd w:val="0"/>
        <w:snapToGrid w:val="0"/>
        <w:spacing w:line="600" w:lineRule="exact"/>
        <w:contextualSpacing/>
        <w:jc w:val="right"/>
        <w:textAlignment w:val="auto"/>
        <w:rPr>
          <w:rFonts w:hint="eastAsia" w:ascii="仿宋_GB2312" w:hAnsi="CIDFont+F6" w:eastAsia="仿宋_GB2312"/>
          <w:color w:val="000000"/>
          <w:sz w:val="32"/>
          <w:szCs w:val="32"/>
        </w:rPr>
      </w:pPr>
    </w:p>
    <w:p w14:paraId="4792AA96">
      <w:pPr>
        <w:keepNext w:val="0"/>
        <w:keepLines w:val="0"/>
        <w:pageBreakBefore w:val="0"/>
        <w:widowControl w:val="0"/>
        <w:kinsoku/>
        <w:wordWrap w:val="0"/>
        <w:overflowPunct/>
        <w:topLinePunct w:val="0"/>
        <w:autoSpaceDE/>
        <w:autoSpaceDN/>
        <w:bidi w:val="0"/>
        <w:adjustRightInd w:val="0"/>
        <w:snapToGrid w:val="0"/>
        <w:spacing w:line="600" w:lineRule="exact"/>
        <w:ind w:right="1120"/>
        <w:contextualSpacing/>
        <w:jc w:val="right"/>
        <w:textAlignment w:val="auto"/>
        <w:rPr>
          <w:rFonts w:hint="eastAsia" w:ascii="仿宋_GB2312" w:hAnsi="CIDFont+F6" w:eastAsia="仿宋_GB2312"/>
          <w:color w:val="000000"/>
          <w:sz w:val="32"/>
          <w:szCs w:val="32"/>
          <w:lang w:val="en-US" w:eastAsia="zh-CN"/>
        </w:rPr>
      </w:pPr>
      <w:bookmarkStart w:id="0" w:name="_GoBack"/>
      <w:bookmarkEnd w:id="0"/>
    </w:p>
    <w:p w14:paraId="74D7E5A9">
      <w:pPr>
        <w:keepNext w:val="0"/>
        <w:keepLines w:val="0"/>
        <w:pageBreakBefore w:val="0"/>
        <w:widowControl w:val="0"/>
        <w:kinsoku/>
        <w:wordWrap w:val="0"/>
        <w:overflowPunct/>
        <w:topLinePunct w:val="0"/>
        <w:autoSpaceDE/>
        <w:autoSpaceDN/>
        <w:bidi w:val="0"/>
        <w:adjustRightInd w:val="0"/>
        <w:snapToGrid w:val="0"/>
        <w:spacing w:line="600" w:lineRule="exact"/>
        <w:ind w:right="1120"/>
        <w:contextualSpacing/>
        <w:jc w:val="right"/>
        <w:textAlignment w:val="auto"/>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华池县人大常委会办公室</w:t>
      </w:r>
    </w:p>
    <w:p w14:paraId="2CC0318C">
      <w:pPr>
        <w:keepNext w:val="0"/>
        <w:keepLines w:val="0"/>
        <w:pageBreakBefore w:val="0"/>
        <w:widowControl w:val="0"/>
        <w:kinsoku/>
        <w:wordWrap/>
        <w:overflowPunct/>
        <w:topLinePunct w:val="0"/>
        <w:autoSpaceDE/>
        <w:autoSpaceDN/>
        <w:bidi w:val="0"/>
        <w:adjustRightInd w:val="0"/>
        <w:snapToGrid w:val="0"/>
        <w:spacing w:line="600" w:lineRule="exact"/>
        <w:ind w:right="1120"/>
        <w:contextualSpacing/>
        <w:jc w:val="center"/>
        <w:textAlignment w:val="auto"/>
        <w:rPr>
          <w:rFonts w:ascii="仿宋_GB2312" w:eastAsia="仿宋_GB2312"/>
          <w:sz w:val="32"/>
          <w:szCs w:val="32"/>
        </w:rPr>
      </w:pPr>
      <w:r>
        <w:rPr>
          <w:rFonts w:hint="eastAsia" w:ascii="仿宋_GB2312" w:hAnsi="CIDFont+F6" w:eastAsia="仿宋_GB2312"/>
          <w:color w:val="000000"/>
          <w:sz w:val="32"/>
          <w:szCs w:val="32"/>
          <w:lang w:val="en-US" w:eastAsia="zh-CN"/>
        </w:rPr>
        <w:t xml:space="preserve">                                 </w:t>
      </w:r>
      <w:r>
        <w:rPr>
          <w:rFonts w:hint="eastAsia" w:ascii="Times New Roman" w:hAnsi="Times New Roman" w:eastAsia="仿宋_GB2312" w:cs="Times New Roman"/>
          <w:sz w:val="32"/>
          <w:szCs w:val="32"/>
          <w:lang w:val="en-US" w:eastAsia="zh-CN"/>
        </w:rPr>
        <w:t>2026</w:t>
      </w:r>
      <w:r>
        <w:rPr>
          <w:rFonts w:hint="eastAsia" w:ascii="仿宋_GB2312" w:hAnsi="CIDFont+F6" w:eastAsia="仿宋_GB2312"/>
          <w:color w:val="000000"/>
          <w:sz w:val="32"/>
          <w:szCs w:val="32"/>
        </w:rPr>
        <w:t>年</w:t>
      </w:r>
      <w:r>
        <w:rPr>
          <w:rFonts w:hint="eastAsia" w:ascii="Times New Roman" w:hAnsi="Times New Roman" w:eastAsia="仿宋_GB2312" w:cs="Times New Roman"/>
          <w:sz w:val="32"/>
          <w:szCs w:val="32"/>
          <w:lang w:val="en-US" w:eastAsia="zh-CN"/>
        </w:rPr>
        <w:t>3</w:t>
      </w:r>
      <w:r>
        <w:rPr>
          <w:rFonts w:hint="eastAsia" w:ascii="仿宋_GB2312" w:hAnsi="CIDFont+F6" w:eastAsia="仿宋_GB2312"/>
          <w:color w:val="000000"/>
          <w:sz w:val="32"/>
          <w:szCs w:val="32"/>
        </w:rPr>
        <w:t>月</w:t>
      </w:r>
      <w:r>
        <w:rPr>
          <w:rFonts w:hint="eastAsia" w:ascii="Times New Roman" w:hAnsi="Times New Roman" w:eastAsia="仿宋_GB2312" w:cs="Times New Roman"/>
          <w:sz w:val="32"/>
          <w:szCs w:val="32"/>
          <w:lang w:val="en-US" w:eastAsia="zh-CN"/>
        </w:rPr>
        <w:t>11</w:t>
      </w:r>
      <w:r>
        <w:rPr>
          <w:rFonts w:hint="eastAsia" w:ascii="仿宋_GB2312" w:hAnsi="CIDFont+F6" w:eastAsia="仿宋_GB2312"/>
          <w:color w:val="000000"/>
          <w:sz w:val="32"/>
          <w:szCs w:val="32"/>
        </w:rPr>
        <w:t>日</w:t>
      </w:r>
    </w:p>
    <w:p w14:paraId="7409E68B">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仿宋_GB2312" w:cs="Times New Roman"/>
          <w:kern w:val="0"/>
          <w:sz w:val="32"/>
          <w:szCs w:val="32"/>
        </w:rPr>
      </w:pPr>
    </w:p>
    <w:p w14:paraId="0358EE4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附件：1.</w:t>
      </w:r>
      <w:r>
        <w:rPr>
          <w:rFonts w:hint="default" w:ascii="Times New Roman" w:hAnsi="Times New Roman" w:eastAsia="仿宋_GB2312" w:cs="Times New Roman"/>
          <w:color w:val="000000"/>
          <w:sz w:val="32"/>
          <w:szCs w:val="32"/>
          <w:lang w:val="en-US" w:eastAsia="zh-CN"/>
        </w:rPr>
        <w:t>华池县人大办</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年部门预算公开表</w:t>
      </w:r>
    </w:p>
    <w:p w14:paraId="7A7098EB">
      <w:pPr>
        <w:keepNext w:val="0"/>
        <w:keepLines w:val="0"/>
        <w:pageBreakBefore w:val="0"/>
        <w:widowControl w:val="0"/>
        <w:kinsoku/>
        <w:wordWrap/>
        <w:overflowPunct/>
        <w:topLinePunct w:val="0"/>
        <w:autoSpaceDE/>
        <w:autoSpaceDN/>
        <w:bidi w:val="0"/>
        <w:adjustRightInd w:val="0"/>
        <w:snapToGrid w:val="0"/>
        <w:spacing w:line="600" w:lineRule="exact"/>
        <w:ind w:firstLine="1600" w:firstLineChars="5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lang w:val="en-US" w:eastAsia="zh-CN"/>
        </w:rPr>
        <w:t>华池县人大办</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年部门整体支出绩效目标及预算项</w:t>
      </w:r>
    </w:p>
    <w:p w14:paraId="4E90257E">
      <w:pPr>
        <w:keepNext w:val="0"/>
        <w:keepLines w:val="0"/>
        <w:pageBreakBefore w:val="0"/>
        <w:widowControl w:val="0"/>
        <w:kinsoku/>
        <w:wordWrap/>
        <w:overflowPunct/>
        <w:topLinePunct w:val="0"/>
        <w:autoSpaceDE/>
        <w:autoSpaceDN/>
        <w:bidi w:val="0"/>
        <w:adjustRightInd w:val="0"/>
        <w:snapToGrid w:val="0"/>
        <w:spacing w:line="600" w:lineRule="exact"/>
        <w:ind w:firstLine="1920" w:firstLineChars="6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目绩效目标表</w:t>
      </w:r>
    </w:p>
    <w:p w14:paraId="22DB4760">
      <w:pPr>
        <w:tabs>
          <w:tab w:val="left" w:pos="1272"/>
        </w:tabs>
      </w:pPr>
    </w:p>
    <w:sectPr>
      <w:pgSz w:w="11906" w:h="16838"/>
      <w:pgMar w:top="1134" w:right="1134" w:bottom="1134"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6"/>
      <w:jc w:val="center"/>
    </w:pPr>
  </w:p>
  <w:p w14:paraId="18AFAB9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58B85F">
                          <w:pPr>
                            <w:pStyle w:val="6"/>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27</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58B85F">
                    <w:pPr>
                      <w:pStyle w:val="6"/>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27</w:t>
                    </w:r>
                    <w:r>
                      <w:rPr>
                        <w:rFonts w:hint="eastAsia" w:ascii="宋体" w:hAnsi="宋体" w:eastAsia="宋体" w:cs="宋体"/>
                        <w:sz w:val="28"/>
                        <w:szCs w:val="28"/>
                      </w:rPr>
                      <w:fldChar w:fldCharType="end"/>
                    </w:r>
                  </w:p>
                </w:txbxContent>
              </v:textbox>
            </v:shape>
          </w:pict>
        </mc:Fallback>
      </mc:AlternateContent>
    </w:r>
  </w:p>
  <w:p w14:paraId="7F222DAC">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672094E"/>
    <w:rsid w:val="113741D2"/>
    <w:rsid w:val="18330BA7"/>
    <w:rsid w:val="1A151970"/>
    <w:rsid w:val="1D34261E"/>
    <w:rsid w:val="3B044230"/>
    <w:rsid w:val="42A05423"/>
    <w:rsid w:val="4C433C79"/>
    <w:rsid w:val="527E074E"/>
    <w:rsid w:val="56393C72"/>
    <w:rsid w:val="579503FF"/>
    <w:rsid w:val="60383290"/>
    <w:rsid w:val="60535296"/>
    <w:rsid w:val="60E8051B"/>
    <w:rsid w:val="687D3FB0"/>
    <w:rsid w:val="6F1928EC"/>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iPriority="99"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rPr>
      <w:rFonts w:ascii="Times New Roman" w:hAnsi="Times New Roman"/>
    </w:rPr>
  </w:style>
  <w:style w:type="paragraph" w:styleId="4">
    <w:name w:val="annotation text"/>
    <w:basedOn w:val="1"/>
    <w:link w:val="19"/>
    <w:autoRedefine/>
    <w:qFormat/>
    <w:uiPriority w:val="0"/>
    <w:pPr>
      <w:jc w:val="left"/>
    </w:pPr>
  </w:style>
  <w:style w:type="paragraph" w:styleId="5">
    <w:name w:val="Balloon Text"/>
    <w:basedOn w:val="1"/>
    <w:link w:val="16"/>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6"/>
    <w:qFormat/>
    <w:uiPriority w:val="0"/>
    <w:rPr>
      <w:sz w:val="18"/>
      <w:szCs w:val="18"/>
    </w:rPr>
  </w:style>
  <w:style w:type="character" w:customStyle="1" w:styleId="14">
    <w:name w:val="页眉 Char"/>
    <w:link w:val="7"/>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5"/>
    <w:qFormat/>
    <w:uiPriority w:val="0"/>
    <w:rPr>
      <w:kern w:val="2"/>
      <w:sz w:val="18"/>
      <w:szCs w:val="18"/>
    </w:rPr>
  </w:style>
  <w:style w:type="character" w:customStyle="1" w:styleId="17">
    <w:name w:val="标题 1 Char"/>
    <w:link w:val="3"/>
    <w:autoRedefine/>
    <w:qFormat/>
    <w:uiPriority w:val="0"/>
    <w:rPr>
      <w:rFonts w:ascii="Times New Roman" w:hAnsi="Times New Roman"/>
      <w:b/>
      <w:bCs/>
      <w:kern w:val="44"/>
      <w:sz w:val="44"/>
      <w:szCs w:val="44"/>
    </w:rPr>
  </w:style>
  <w:style w:type="paragraph" w:customStyle="1" w:styleId="18">
    <w:name w:val="TOC Heading"/>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4"/>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beijing</Company>
  <Pages>13</Pages>
  <Words>5463</Words>
  <Characters>5703</Characters>
  <Lines>68</Lines>
  <Paragraphs>19</Paragraphs>
  <TotalTime>22</TotalTime>
  <ScaleCrop>false</ScaleCrop>
  <LinksUpToDate>false</LinksUpToDate>
  <CharactersWithSpaces>6161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水薇</cp:lastModifiedBy>
  <cp:lastPrinted>2026-03-11T02:12:37Z</cp:lastPrinted>
  <dcterms:modified xsi:type="dcterms:W3CDTF">2026-03-11T02:12:39Z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eyJoZGlkIjoiNTUxNjU3YzRjNGFkYzU1ZGU5NmM3ZDIwOTg4ODVmZGQiLCJ1c2VySWQiOiI0MzUxMTIwNTYifQ==</vt:lpwstr>
  </property>
</Properties>
</file>